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I/6/2024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wyboru Przewodniczącego i składu osobowego Komisji Rewizyjnej Rady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 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609) oraz § 15 pkt 1 ppkt 1 i § 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 uchwały Rady Gminy Gręboszów Nr VI/48/2019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uchwalenia Statutu Gminy Gręboszów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3454)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głosowaniu jawnym zwykłą większością głosów,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skład Komisji Rewizyjnej zostali wybrani radni: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................................................ - Przewodniczący;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................................................ - Czlonek;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................................................ - Członek.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734248E7-FAB0-459C-BB76-52575D98FF09.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I/6/2024 z dnia 6 maja 2024 r.</dc:title>
  <dc:subject>w sprawie wyboru Przewodniczącego i^składu osobowego Komisji Rewizyjnej Rady Gminy Gręboszów</dc:subject>
  <dc:creator>marcin.janowiec</dc:creator>
  <cp:lastModifiedBy>marcin.janowiec</cp:lastModifiedBy>
  <cp:revision>1</cp:revision>
  <dcterms:created xsi:type="dcterms:W3CDTF">2024-05-02T11:04:17Z</dcterms:created>
  <dcterms:modified xsi:type="dcterms:W3CDTF">2024-05-02T11:04:17Z</dcterms:modified>
  <cp:category>Akt prawny</cp:category>
</cp:coreProperties>
</file>