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A4CAB" w14:textId="437326AD" w:rsidR="00112178" w:rsidRDefault="003C5CF9">
      <w:r>
        <w:t>Krzysztof Dymon został wybrany Wiceprzewodniczącym Komisji Rewizyjnej.</w:t>
      </w:r>
    </w:p>
    <w:sectPr w:rsidR="001121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F9"/>
    <w:rsid w:val="000865DE"/>
    <w:rsid w:val="00112178"/>
    <w:rsid w:val="003C5CF9"/>
    <w:rsid w:val="00A2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25A9"/>
  <w15:chartTrackingRefBased/>
  <w15:docId w15:val="{61FDF12E-3314-4B9B-813F-AA5148D3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5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5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5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5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5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5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5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5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5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5C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5C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5C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5C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5C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C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5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5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5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5C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5C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5C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5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5C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5C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1</cp:revision>
  <dcterms:created xsi:type="dcterms:W3CDTF">2024-05-16T07:28:00Z</dcterms:created>
  <dcterms:modified xsi:type="dcterms:W3CDTF">2024-05-16T07:30:00Z</dcterms:modified>
</cp:coreProperties>
</file>