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18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IV/38/2024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zmiany Wieloletniej Prognozy Finansowej Gminy Gręboszów na lata 2024 - 2031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230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1270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późn. zm.</w:t>
      </w:r>
      <w:r>
        <w:rPr>
          <w:rStyle w:val="FootnoteReference"/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2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uchwale Nr LVI/454/2023 Rady Gminy Gręboszów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grudnia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w sprawie uchwalenia Wieloletniej Prognozy Finansowej Gminy Gręboszów na lata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- 2031, dokonuje się następujących zmian: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prognozy kwoty długu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spłaty zobowiązań na lata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– 2031,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uchwały, dotyczący wykazu planowanych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realizowanych wieloletnich przedsięwzięć, otrzymuje brzmienie jak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niniejszej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Uzasadnienie zmian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uchwały zawiera 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Pozostała treść uchwały Nr LVI/454/2023 Rady Gminy Gręboszów, pozostaje bez zmian.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2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Wieloletnia Prognoza Finansowa</w:t>
      </w:r>
      <w:r>
        <w:rPr>
          <w:rStyle w:val="FootnoteReference"/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0"/>
          <w:u w:val="none" w:color="000000"/>
          <w:vertAlign w:val="superscript"/>
        </w:rPr>
        <w:footnoteReference w:customMarkFollows="1" w:id="3"/>
        <w:t xml:space="preserve">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64"/>
        <w:gridCol w:w="384"/>
        <w:gridCol w:w="360"/>
        <w:gridCol w:w="360"/>
        <w:gridCol w:w="4838"/>
        <w:gridCol w:w="24"/>
        <w:gridCol w:w="1464"/>
        <w:gridCol w:w="1464"/>
        <w:gridCol w:w="1464"/>
        <w:gridCol w:w="1452"/>
        <w:gridCol w:w="1452"/>
        <w:gridCol w:w="1452"/>
        <w:gridCol w:w="1452"/>
        <w:gridCol w:w="1452"/>
        <w:gridCol w:w="1452"/>
        <w:gridCol w:w="14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Plan 3 kw. 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Wykonanie 2023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11 980 391,31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18 358 285,17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17 589 024,02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19 318 398,47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28 333 300,45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20 737 979,48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35 238 106,31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37 560 046,00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11 624 804,72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12 492 111,37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13 789 278,34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18 639 744,01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17 929 401,21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16 711 393,66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17 539 173,78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19 910 046,00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1 604 458,00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1 375 838,00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1 464 045,00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4 357 548,57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1 474 872,00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1 771 547,00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14 863,07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13 951,76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14 895,66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19 234,07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25 283,00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27 699,00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27 568,00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4 433 247,00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4 754 141,00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5 301 378,00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4 915 370,00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7 220 031,00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7 348 295,95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6 559 285,00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6 515 535,00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 tytułu dotacji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środków przeznaczonych na cele bieżące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4"/>
              <w:t xml:space="preserve">2)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4 062 464,11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4 215 508,49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4 576 742,04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5 499 858,30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2 906 116,70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3 140 141,66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2 563 343,15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2 385 339,00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pozostałe dochody bieżące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5"/>
              <w:t xml:space="preserve">3)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1 509 772,54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2 132 672,12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2 432 217,64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3 847 733,07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6 303 098,51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4 722 801,05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6 617 299,63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8 981 604,00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377 872,70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519 238,18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597 663,76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1 538 415,83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1 910 000,00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1 578 418,45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1 810 000,00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2 282 636,00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5 866 173,80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3 799 745,68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678 654,46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10 403 899,24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4 026 585,82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17 698 932,53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10 462,96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94 975,93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66 624,46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15 753,82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631 724,00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355 586,59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5 855 710,84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3 704 769,75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612 030,00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9 663 899,24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4 010 832,00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17 067 208,53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11 615 565,13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15 690 075,78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15 759 738,52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18 682 096,94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32 867 620,76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26 870 299,99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40 040 106,11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36 660 046,00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11 228 642,71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11 845 185,33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13 324 492,44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17 144 187,75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17 391 161,80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16 187 562,07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17 853 837,01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16 768 125,00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4 518 204,35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4 666 945,13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5 214 421,61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5 911 192,69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6 811 634,23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6 858 904,84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8 633 100,80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8 597 024,00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28 527,47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26 851,36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39 867,67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72 890,87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32 167,10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15 476 458,96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10 682 737,92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22 186 269,10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19 891 921,00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386 922,42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3 844 890,45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2 435 246,08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1 537 909,19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12 476 458,96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10 682 737,92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22 186 269,10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19 891 921,00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40 802,79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185 425,62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524 016,36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4 546,60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102 006,30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417 730,35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2 668 209,39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1 829 285,50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-4 534 320,31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-6 132 320,51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-4 801 999,80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Kwota prognozowanej nadwyżki budżetu przeznaczana na spłatę kredytów, pożyczek 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wykup papierów wartościowych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6"/>
              <w:t xml:space="preserve">4)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364 826,18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636 301,53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378 458,71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932 424,89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3 550 634,28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5 160 219,78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5 160 633,31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9 934 320,31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5 498 529,80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744 401,00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1 198 000,20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Nadwyżka budżetowa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lat ubiegłych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7"/>
              <w:t xml:space="preserve">5)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3 062 721,95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3 296 025,93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477,16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4 534 320,31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476 390,93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78 458,71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50 412,33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1 864 193,85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2 795 198,87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150 046,73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2 325 608,87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Inne przychody niezwiązane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zaciągnięciem długu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8"/>
              <w:t xml:space="preserve">6)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, w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226 313,00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487 500,00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219 700,00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626 313,00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530 410,00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37 500,00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226 313,00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130 410,00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96 530,00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1 044 401,00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5 000 000,00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396 162,01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646 926,04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464 785,90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1 495 556,26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538 239,41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523 831,59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-314 663,23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Różnica między dochodami bieżącymi, skorygowanymi o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środki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9"/>
              <w:t xml:space="preserve">7)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wydatkami bieżącymi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474 620,72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797 449,93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3 577 920,18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6 655 776,04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5 472 559,72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5 458 151,90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3 087 336,57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3 141 921,00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5,94%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6,85%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0,07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6188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4,19%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4,52%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-0,12%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19,70%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188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5,88%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8,40%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6,41%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12,70%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9,12%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4,64%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4,09%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9,41%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8,64%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7,92%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7,14%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108 676,80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38 584,55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19 615,93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94 108,79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34 834,58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4 808,60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ustawy,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354 263,96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151 030,00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1 871 478,53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205 586,59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141 054,84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197 309,52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142 116,76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1 702 262,46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39 750,03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119 599,00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29 771,75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38 483,95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77 030,00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57 907,93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29 527,11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97 642,03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23 249,78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32 859,98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43 008,08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5 500,00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1 281 185,87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ustawy,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26 702,07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280 653,08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352 712,00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110 827,50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1 281 185,87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629 693,04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1 435 662,52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16 281,75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147 785,49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211 627,20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1 153 067,24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557 146,63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1 007 196,45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7713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2 040 124,00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4 230 451,57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13 058 384,65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14 797 938,00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12 686 000,00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1 620 124,00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1 687 051,57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2 337 000,00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2 061 938,00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420 000,00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2 543 400,00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10 721 384,65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12 736 000,00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10 386 000,00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592 761,00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450 000,00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182 200,00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862 201,00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600 000,00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 pożyczek wraz z należnymi odsetkami i dyskontem, odpowiednio emitowanych lub zaciągniętych do równowartości kwoty ubytku w 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618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Wydatki bieżące podlegające ustawowemu wyłączeniu z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 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limitu spłaty zobowiązań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0"/>
              <w:t xml:space="preserve">8)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980"/>
        <w:gridCol w:w="517"/>
        <w:gridCol w:w="492"/>
        <w:gridCol w:w="492"/>
        <w:gridCol w:w="6613"/>
        <w:gridCol w:w="1"/>
        <w:gridCol w:w="1979"/>
        <w:gridCol w:w="1"/>
        <w:gridCol w:w="1979"/>
        <w:gridCol w:w="1"/>
        <w:gridCol w:w="1979"/>
        <w:gridCol w:w="1"/>
        <w:gridCol w:w="1979"/>
        <w:gridCol w:w="1"/>
        <w:gridCol w:w="1979"/>
        <w:gridCol w:w="1"/>
        <w:gridCol w:w="199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Wyszczególnienie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2026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caps w:val="0"/>
                <w:strike w:val="0"/>
                <w:color w:val="000000"/>
                <w:sz w:val="14"/>
                <w:u w:val="none" w:color="000000"/>
                <w:vertAlign w:val="baseline"/>
              </w:rPr>
              <w:t>2027</w:t>
            </w:r>
            <w:r>
              <w:rPr>
                <w:rStyle w:val="FootnoteReference"/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14"/>
                <w:u w:val="none" w:color="000000"/>
                <w:vertAlign w:val="superscript"/>
              </w:rPr>
              <w:footnoteReference w:customMarkFollows="1" w:id="11"/>
              <w:t xml:space="preserve">9)</w:t>
            </w:r>
            <w:r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  <w:t> 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2028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2029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2031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1. Dochody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29 082 359,00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24 367 203,00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23 442 871,00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25 952 305,00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26 434 862,00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27 058 419,00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19 864 680,00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23 667 203,00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22 742 871,00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25 302 305,00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25 784 862,00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26 259 699,00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fizycznych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2 648 384,00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2 696 187,00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2 745 376,00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3 233 649,00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3 289 490,00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3 344 438,00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z tytułu udziału we wpływach z podatku dochodowego od osób prawnych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28 257,00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29 076,00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29 919,00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34 924,00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35 797,00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36 656,00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subwencji ogólnej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6 165 923,00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6 344 735,00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6 428 732,00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7 581 769,00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7 771 313,00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7 957 825,00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i środków przeznaczonych na cele bieżące</w:t>
            </w:r>
            <w:r>
              <w:rPr>
                <w:sz w:val="14"/>
                <w:vertAlign w:val="superscript"/>
              </w:rPr>
              <w:t>X3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1 552 472,00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1 566 624,00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1 612 056,00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1 804 384,00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1 849 494,00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1 893 882,00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dochody bieżące</w:t>
            </w:r>
            <w:r>
              <w:rPr>
                <w:sz w:val="14"/>
                <w:vertAlign w:val="superscript"/>
              </w:rPr>
              <w:t>4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9 469 644,00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13 030 581,00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11 926 788,00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12 647 579,00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12 838 768,00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13 026 898,00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1.1.5.1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podatku od nieruchomości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2 334 702,00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2 496 608,00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2 660 310,00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2 786 472,00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2 856 134,00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2 924 681,00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9 217 679,00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ze sprzedaży majątku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217 679,00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1.2.2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dotacji oraz środków przeznaczonych na inwestycje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9 000 000,00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798 720,00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2. Wydatki ogółem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28 182 359,00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23 067 203,00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22 142 871,00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25 302 305,00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25 784 862,00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26 358 419,00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18 877 359,00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18 491 604,00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21 034 289,00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21 826 235,00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22 251 564,00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22 779 177,00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wynagrodzenia i składki od nich naliczane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9 420 132,00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9 631 606,00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9 845 291,00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10 345 931,00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10 584 252,00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10 821 462,00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 tytułu poręczeń i gwarancji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2.1.2.1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gwarancje i poręczenia podlegające wyłączeniu z limitu spłaty zobowiązań, o którym mowa w 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obsługę długu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248 000,00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198 000,00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136 500,00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25 000,00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 limitu spłaty zobowiązań, o którym mowa w art. 243 ustawy, w terminie nie dłuższym niż 90 dni po zakończeniu programu, projektu lub zadania i otrzymaniu refundacji z tych środków (bez odsetek i dyskonta od zobowiązań na wkład krajowy)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odsetki i dyskonto podlegające wyłączeniu z limitu spłaty zobowiązań, o którym mowa w art. 243 ustawy, z tytułu zobowiązań zaciągniętych na wkład krajowy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2.1.3.3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pozostałe odsetki i dyskonto podlegające wyłączeniu z limitu spłaty zobowiązań, o którym mowa w art. 243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9 305 000,00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4 575 599,00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1 108 582,00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3 476 070,00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3 533 298,00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Inwestycje i zakupy inwestycyjne, o których mowa w art. 236 ust. 4 pkt 1 ustawy,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9 305 000,00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4 575 599,00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1 108 582,00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3 476 070,00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3 533 298,00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3 579 242,00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2.2.1.1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 charakterze dotacyjnym na inwestycje i zakupy inwestycyjne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3. Wynik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prognozowanej nadwyżki budżetu przeznaczana na spłatę kredytów, pożyczek i wykup papierów wartościowych</w:t>
            </w:r>
            <w:r>
              <w:rPr>
                <w:sz w:val="14"/>
                <w:vertAlign w:val="superscript"/>
              </w:rPr>
              <w:t>5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4. Przychody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Kredyty, pożyczki, emisja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Nadwyżka budżetowa z lat ubiegłych</w:t>
            </w:r>
            <w:r>
              <w:rPr>
                <w:sz w:val="14"/>
                <w:vertAlign w:val="superscript"/>
              </w:rPr>
              <w:t>X6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4.2.1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Wolne środki, o których mowa w art. 217 ust.2 pkt 6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4.3.1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udzielonych pożyczek w latach ubiegłych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4.4.1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przychody niezwiązane z zaciągnięciem długu</w:t>
            </w:r>
            <w:r>
              <w:rPr>
                <w:sz w:val="14"/>
                <w:vertAlign w:val="superscript"/>
              </w:rPr>
              <w:t>X7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4.5.1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na pokrycie deficytu budżetu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5. Rozchody budżetu</w:t>
            </w:r>
            <w:r>
              <w:rPr>
                <w:b/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 rat kapitałowych kredytów i pożyczek oraz wykup papierów wartościowych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łączna kwota przypadających na dany rok kwot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z tego: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wyłączeń określonych w art. 243 ust. 3a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wyłączeń z tytułu wcześniejszej spłaty zobowiązań, określonych w art. 243 ust. 3b ustawy, z tego: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środkami nowego zobowiązania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wolnymi środkami, o których mowa w art. 217 ust. 2 pkt 6 ustawy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5.1.1.3.3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innymi środkami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5.1.1.4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przypadających na dany rok kwot pozostałych ustawowych wyłączeń z limitu spłaty zobowiązań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5.2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Inne rozchody niezwiązane ze spłatą długu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6. Kwota długu</w:t>
            </w:r>
            <w:r>
              <w:rPr>
                <w:b/>
                <w:sz w:val="14"/>
                <w:vertAlign w:val="superscript"/>
              </w:rPr>
              <w:t>X</w:t>
            </w:r>
            <w:r>
              <w:rPr>
                <w:b/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4 600 000,00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1 350 000,00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długu, którego planowana spłata dokona się z wydatków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7. Relacja zrównoważenia wydatków bieżących, o której mowa w art. 242 ustawy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987 321,00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5 175 599,00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1 708 582,00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3 476 070,00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3 533 298,00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3 480 522,00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7.2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Różnica między dochodami bieżącymi, skorygowanymi o środki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 xml:space="preserve"> a wydatkami bieżącymi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987 321,00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5 175 599,00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1 708 582,00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3 476 070,00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3 533 298,00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3 480 522,00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8. Wskaźnik spłaty zobowiązań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6,27%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6,78%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6,80%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3,19%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2,99%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2,98%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8.1_vROD_2023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8.2</w:t>
            </w:r>
          </w:p>
        </w:tc>
        <w:tc>
          <w:tcPr>
            <w:tcW w:w="845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Relacja określona po prawej stronie nierówności we wzorze, o którym mowa w art. 243 ust. 1 ustawy, ustalona dla danego roku (wskaźnik jednoroczny)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6,75%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24,31%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8,73%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15,22%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15,03%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14,39%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845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7,93%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8,05%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10,34%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10,82%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11,25%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12,80%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8.3.1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Dopuszczalny limit spłaty zobowiązań określony po prawej stronie nierówności we wzorze, o którym mowa w art. 243 ustawy, po uwzględnieniu ustawowych wyłączeń, obliczony w oparciu o wykonanie roku poprzedzającego pierwszy rok prognozy (wskaźnik ustalony w oparciu o średnią arytmetyczną z poprzednich lat)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7,97%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8,10%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10,39%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10,87%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11,30%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12,80%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8.4.1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Informacja o spełnieniu wskaźnika spłaty zobowiązań określonego w art. 243 ustawy, po uwzględnieniu zobowiązań związku współtworzonego przez jednostkę samorządu terytorialnego oraz po uwzględnieniu ustawowych wyłączeń, obliczonego w oparciu o wykonanie roku poprzedzającego rok budżetowy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9. Finansowanie programów, projektów lub zadań realizowanych z udziałem środków, o których mowa w art. 5 ust. 1 pkt 2 i 3 ustawy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Dotacje i środki o charakterze bieżącym na realizację programu, projektu lub zadania finansowanego z udziałem środków, o których mowa w 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9.1.1.1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Dochody majątkowe na programy, projekty lub zadania finansowane z udziałem środków, o których mowa w art. 5 ust. 1 pkt 2 ustawy, w 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9.2.1.1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środki określone w art. 5 ust. 1 pkt 2 ustawy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 udziałem środków, o których mowa w art. 5 ust. 1 pkt 2 i 3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programy, projekty lub zadania finansowane z udziałem środków, o których mowa w art. 5 ust. 1 pkt 2 ustawy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 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9.3.1.1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majątkowe na programy, projekty lub zadania finansowane z działem środków, o których mowa w art. 5 ust. 1 pkt 2 ustawy,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3 100 000,00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9.4.1.1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finansowane środkami określonymi w art. 5 ust. 1 pkt 2 ustawy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2 000 000,00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10512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4"/>
              </w:rPr>
              <w:t>10. Informacje uzupełniające o wybranych kategoriach finansowych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objęte limitem, o którym mowa w art. 226 ust. 3 pkt 4 ustawy, z tego: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9 354 000,00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2 657 000,00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2 761 000,00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2 876 000,00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bieżące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2 444 000,00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2 560 000,00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2 657 000,00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2 761 000,00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2 876 000,00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3 002 000,00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10.1.2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majątkowe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6 910 000,00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10.2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10.3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10.4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związku współtworzonego przez jednostkę samorządu terytorialnego przypadających do spłaty w danym roku budżetowym, podlegająca doliczeniu zgodnie z art. 244 ustawy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10.5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10.6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Spłaty, o których mowa w poz. 5.1, wynikające wyłącznie z tytułu zobowiązań już zaciągniętych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900 000,00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1 300 000,00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650 000,00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zmniejszające dług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wymagalnych z lat poprzednich, innych niż w poz. 10.7.3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spłata zobowiązań zaliczanych do tytułu dłużnego – kredyt i pożyczka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zobowiązań zaciągniętych po dniu 1 stycznia 2019 r.</w:t>
            </w:r>
            <w:r>
              <w:rPr>
                <w:sz w:val="14"/>
                <w:vertAlign w:val="superscript"/>
              </w:rPr>
              <w:t>X</w:t>
            </w:r>
            <w:r>
              <w:rPr>
                <w:sz w:val="14"/>
              </w:rPr>
              <w:t>, w tym: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10.7.2.1.1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8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dokonywana w formie wydatku bieżącego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10.7.3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79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wypłaty z tytułu wymagalnych poręczeń i gwarancji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10.8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Kwota wzrostu(+)/spadku(−) kwoty długu wynikająca z operacji niekasowych (m.in. umorzenia, różnice kursowe)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10.9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Wcześniejsza spłata zobowiązań, wyłączona z limitu spłaty zobowiązań, dokonywana w formie wydatków budżetowych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x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10.10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Wykup papierów wartościowych, spłaty rat kredytów i pożyczek wraz z należnymi odsetkami i dyskontem, odpowiednio emitowanych lub zaciągniętych do równowartości kwoty ubytku w wykonanych dochodach jednostki samorządu terytorialnego będącego skutkiem wystąpienia COVID-19</w:t>
            </w:r>
            <w:r>
              <w:rPr>
                <w:sz w:val="14"/>
                <w:vertAlign w:val="superscript"/>
              </w:rPr>
              <w:t>X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20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10.11</w:t>
            </w:r>
          </w:p>
        </w:tc>
        <w:tc>
          <w:tcPr>
            <w:tcW w:w="845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Wydatki bieżące podlegające ustawowemu wyłączeniu z limitu spłaty zobowiązań</w:t>
            </w:r>
            <w:r>
              <w:rPr>
                <w:sz w:val="14"/>
                <w:vertAlign w:val="superscript"/>
              </w:rPr>
              <w:t>9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4"/>
              </w:rPr>
              <w:t>0,00</w:t>
            </w:r>
          </w:p>
        </w:tc>
      </w:tr>
    </w:tbl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* Informacje zawarte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tej części wieloletniej prognozy finansowej,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spełnieniu relacji określonej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243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zostaną automatycznie wygenerowane przez aplikację wskazaną przez Ministra Finansów,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rozporządzenia, na podstawie danych historycznych oraz prognozowanych przez jednostkę samorządu terytorialnego. Automatyczne wyliczenia danych na podstawie wartości historycznych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prognozowanych przez jednostkę samorządu terytorialnego dotyczą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także pozycji 8.3–8.3.1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sekcji 12.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x - pozycje oznaczone symbolem „x” sporządza się na okres prognozy kwoty długu,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ustawy. Okres ten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podlega wydłużeniu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sytuacji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planowania wydatków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okresie dłuższym niż okres, na który zaciągnięto oraz planuje się zaciągnąć zobowiązania dłużne,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wydatkach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tytułu niewymagalnych poręczeń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gwarancji, wykraczających poza wspomniany okres, należy zamieścić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objaśnieniach do wieloletniej prognozy finansowej.</w:t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>
      <w:pPr>
        <w:keepNext/>
        <w:spacing w:before="120" w:after="120" w:line="360" w:lineRule="auto"/>
        <w:ind w:left="17220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IV/38/2024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Gręboszów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 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Wykaz przedsięwzięć do WPF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844"/>
        <w:gridCol w:w="2894"/>
        <w:gridCol w:w="1844"/>
        <w:gridCol w:w="664"/>
        <w:gridCol w:w="663"/>
        <w:gridCol w:w="1"/>
        <w:gridCol w:w="1518"/>
        <w:gridCol w:w="1"/>
        <w:gridCol w:w="1506"/>
        <w:gridCol w:w="1"/>
        <w:gridCol w:w="1506"/>
        <w:gridCol w:w="1"/>
        <w:gridCol w:w="1506"/>
        <w:gridCol w:w="1"/>
        <w:gridCol w:w="1506"/>
        <w:gridCol w:w="1"/>
        <w:gridCol w:w="1506"/>
        <w:gridCol w:w="1"/>
        <w:gridCol w:w="1506"/>
        <w:gridCol w:w="1"/>
        <w:gridCol w:w="1506"/>
        <w:gridCol w:w="1"/>
        <w:gridCol w:w="1506"/>
        <w:gridCol w:w="1"/>
        <w:gridCol w:w="1502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Lp.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Nazwa i cel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Jednostka odpowiedzialna lub koordynująca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Okres realizacji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Łącznie nakłady finansowe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2024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2025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2026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2027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2028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2029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2030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2031</w:t>
            </w:r>
          </w:p>
        </w:tc>
        <w:tc>
          <w:tcPr>
            <w:tcW w:w="1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Limit zobowiązań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do</w:t>
            </w:r>
          </w:p>
        </w:tc>
        <w:tc>
          <w:tcPr>
            <w:tcW w:w="15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  <w:tc>
          <w:tcPr>
            <w:tcW w:w="156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przedsięwzięcia-ogółem (1.1+1.2+1.3)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50 693 938,00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14 797 938,00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12 686 000,00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9 354 000,00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50 693 938,00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1.a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20 661 938,00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2 061 938,00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2 300 000,00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2 444 000,00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20 661 938,00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1.b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30 032 000,00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12 736 000,00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10 386 000,00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6 910 000,00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30 032 000,00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programami realizowanymi z udziałem środków, o których mowa w art.5 ust.1 pkt 2 i 3 ustawy z dnia 27 sierpnia 2009.r. o finansach publicznych (Dz.U. z 2017 r. poz. 2077, z późn.zm.), z tego: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516 100,00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6 100,00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260 000,00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516 100,00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1.1.1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16 100,00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6 100,00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16 100,00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1.1.1.2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Odnawialne Źródła Energii - obsługa projektu - zarządzanie i obsługa projektu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16 100,00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6 100,00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16 100,00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1.1.2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1.1.2.1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Przedszkola Publicznego wraz ze żłobkiem - zagospodarowanie terenu wraz z  infrastrukturą pozostałą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związane z umowami partnerstwa publiczno-prywatnego, z tego: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1.2.1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1.2.2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Wydatki na programy, projekty lub zadania pozostałe (inne niż wymienione w pkt 1.1 i 1.2), z tego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50 177 838,00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14 791 838,00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12 426 000,00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9 104 000,00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50 177 838,00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1.3.1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bieżące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20 645 838,00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2 055 838,00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2 290 000,00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2 444 000,00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2 560 000,00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2 657 000,00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2 761 000,00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2 876 000,00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3 002 000,00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20 645 838,00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Licencje i programy komputerowe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651 000,00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87 000,00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651 000,00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1.3.1.2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Finansowanie utrzymania mieszkańców gminy w Domach Pomocy Społecznej - Finansowanie pobytu mieszkańców z terenu Gminy Gręboszów w DPS-ach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Gminny Ośrodek Pomocy Społecznej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5 080 000,00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1.3.1.3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Obsługa bankowa budżetu Gminy Gręboszów  na podstawie art. 264 uofp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18 000,00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19 000,00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24 000,00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176 000,00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1.3.1.4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Oświetlenie placów ulic i dróg: dostawa energii do budynków i budowli stanowiących mienie gminne - Realizacja zadań własnych jst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4 658 838,00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418 838,00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620 000,00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660 000,00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670 000,00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4 658 838,00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1.3.1.5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Wywóz odpadów komunalnych z terenu Gminy Gręboszów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6 800 000,00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830 000,00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840 000,00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880 000,00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6 800 000,00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1.3.1.6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Zimowe utrzymanie dróg publicznych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2031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3 280 000,00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370 000,00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440 000,00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460 000,00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510 000,00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3 280 000,00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1.3.2</w:t>
            </w:r>
          </w:p>
        </w:tc>
        <w:tc>
          <w:tcPr>
            <w:tcW w:w="628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- wydatki majątkowe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29 532 000,00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12 736 000,00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10 136 000,00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6 660 000,00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b/>
                <w:sz w:val="16"/>
              </w:rPr>
              <w:t>29 532 000,00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1.3.2.6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Modernizacja oświetlenia ulicznego w gminie - wydatki na realizację programu gospodarki niskoemisyjnej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752 000,00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646 000,00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106 000,00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752 000,00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1.3.2.7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budynku szatni sportowej z zapleczem sanitarnym przy boisku w miejscowości Ujście Jezuickie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2025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1 020 000,00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280 000,00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1.3.2.8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Budowa publicznego przedszkola ze żłobkiem wraz z instalacjami infrastruktury technicznej w miejsowości Gręboszów  - Budowa przedszkola publicznego wraz ze żłobkiem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12 480 000,00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8 980 000,00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3 000 000,00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12 480 000,00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1.3.2.9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Zagospodarowanie terenu przy publicznym przedszkolu ze żłobkiem w miejscowości Gręboszów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1 750 000,00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1 250 000,00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5 000 000,00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1.3.2.10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i rozbudowa budynków remiz OSP Hubenice - Kozłów i Karsy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Urząd Gminy 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2 030 000,00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1 030 000,00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2 030 000,00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uto" w:val="0"/>
        </w:trPr>
        <w:tc>
          <w:tcPr>
            <w:tcW w:w="87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1.3.2.11</w:t>
            </w:r>
          </w:p>
        </w:tc>
        <w:tc>
          <w:tcPr>
            <w:tcW w:w="30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lef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 xml:space="preserve">Przebudowa kanału Hubenickiego na terenie Gminy Gręboszów - </w:t>
            </w:r>
          </w:p>
        </w:tc>
        <w:tc>
          <w:tcPr>
            <w:tcW w:w="191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GRĘBOSZÓW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2024</w:t>
            </w:r>
          </w:p>
        </w:tc>
        <w:tc>
          <w:tcPr>
            <w:tcW w:w="6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2026</w:t>
            </w:r>
          </w:p>
        </w:tc>
        <w:tc>
          <w:tcPr>
            <w:tcW w:w="1575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7 970 000,00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90 000,00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4 000 000,00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3 880 000,00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5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lrTb"/>
            <w:vAlign w:val="top"/>
            <w:hideMark/>
          </w:tcPr>
          <w:p w:rsidR="00A77B3E">
            <w:pPr>
              <w:spacing w:before="0" w:after="0"/>
              <w:jc w:val="right"/>
              <w:rPr>
                <w:rFonts w:ascii="Times New Roman" w:eastAsia="Times New Roman" w:hAnsi="Times New Roman" w:cs="Times New Roman"/>
                <w:b w:val="0"/>
                <w:i w:val="0"/>
                <w:caps w:val="0"/>
                <w:strike w:val="0"/>
                <w:color w:val="000000"/>
                <w:sz w:val="22"/>
                <w:u w:val="none" w:color="000000"/>
                <w:vertAlign w:val="baseline"/>
              </w:rPr>
            </w:pPr>
            <w:r>
              <w:rPr>
                <w:sz w:val="16"/>
              </w:rPr>
              <w:t>7 970 000,00</w:t>
            </w:r>
          </w:p>
        </w:tc>
      </w:tr>
    </w:tbl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</w:p>
    <w:p w:rsidR="00A77B3E">
      <w:pPr>
        <w:keepNext/>
        <w:keepLines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86"/>
        <w:gridCol w:w="10886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23811" w:h="16838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right"/>
        <w:rPr>
          <w:szCs w:val="20"/>
        </w:rPr>
      </w:pPr>
      <w:r>
        <w:rPr>
          <w:szCs w:val="20"/>
        </w:rPr>
        <w:t xml:space="preserve">Załącznik Nr 3 do uchwały Nr </w:t>
      </w:r>
      <w:r>
        <w:rPr>
          <w:szCs w:val="20"/>
        </w:rPr>
        <w:t>IV/38</w:t>
      </w:r>
      <w:r>
        <w:rPr>
          <w:szCs w:val="20"/>
        </w:rPr>
        <w:t>/2024</w:t>
        <w:br/>
        <w:t>Rady Gminy Gręboszów</w:t>
        <w:br/>
        <w:t>z dnia 24 </w:t>
      </w:r>
      <w:r>
        <w:rPr>
          <w:szCs w:val="20"/>
        </w:rPr>
        <w:t>września</w:t>
      </w:r>
      <w:r>
        <w:rPr>
          <w:szCs w:val="20"/>
        </w:rPr>
        <w:t xml:space="preserve"> 2024 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0" w:right="0" w:firstLine="0"/>
        <w:contextualSpacing w:val="0"/>
        <w:jc w:val="center"/>
        <w:rPr>
          <w:b/>
          <w:szCs w:val="20"/>
        </w:rPr>
      </w:pPr>
      <w:r>
        <w:rPr>
          <w:b/>
          <w:szCs w:val="20"/>
        </w:rPr>
        <w:t>Objaśnienia przyjętych wartości do Wieloletniej Prognozy Finansowej Gminy Gręboszów na lata 2024-2031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ze zmianami w budżecie na dzień 24 września 2024 r., dokonano następujących zmian w 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1</w:t>
      </w:r>
      <w:r>
        <w:rPr>
          <w:szCs w:val="20"/>
        </w:rPr>
        <w:t>)</w:t>
      </w:r>
      <w:r>
        <w:rPr>
          <w:szCs w:val="20"/>
        </w:rPr>
        <w:t xml:space="preserve"> </w:t>
      </w:r>
      <w:r>
        <w:rPr>
          <w:szCs w:val="20"/>
        </w:rPr>
        <w:t>d</w:t>
      </w:r>
      <w:r>
        <w:rPr>
          <w:szCs w:val="20"/>
        </w:rPr>
        <w:t>ochody ogółem zwiększono o 107 997,79 zł, z czego dochody bieżące zwiększono o 107 997,79 zł, a dochody majątkowe nie uległy zmianie</w:t>
      </w:r>
      <w:r>
        <w:rPr>
          <w:szCs w:val="2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2</w:t>
      </w:r>
      <w:r>
        <w:rPr>
          <w:szCs w:val="20"/>
        </w:rPr>
        <w:t>)</w:t>
      </w:r>
      <w:r>
        <w:rPr>
          <w:szCs w:val="20"/>
        </w:rPr>
        <w:t xml:space="preserve"> </w:t>
      </w:r>
      <w:r>
        <w:rPr>
          <w:szCs w:val="20"/>
        </w:rPr>
        <w:t>w</w:t>
      </w:r>
      <w:r>
        <w:rPr>
          <w:szCs w:val="20"/>
        </w:rPr>
        <w:t>ydatki ogółem zwiększono o 9 293,80 zł, z czego wydatki bieżące zwiększono o 189 580,83 zł, a wydatki majątkowe zmniejszono o 180 287,03 zł</w:t>
      </w:r>
      <w:r>
        <w:rPr>
          <w:szCs w:val="2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3</w:t>
      </w:r>
      <w:r>
        <w:rPr>
          <w:szCs w:val="20"/>
        </w:rPr>
        <w:t>)</w:t>
      </w:r>
      <w:r>
        <w:rPr>
          <w:szCs w:val="20"/>
        </w:rPr>
        <w:t xml:space="preserve"> </w:t>
      </w:r>
      <w:r>
        <w:rPr>
          <w:szCs w:val="20"/>
        </w:rPr>
        <w:t>w</w:t>
      </w:r>
      <w:r>
        <w:rPr>
          <w:szCs w:val="20"/>
        </w:rPr>
        <w:t>ynik budżetu jest deficytowy i po zmianach wynosi - 4 801 999,80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Szczegółowe informacje na temat zmian w zakresie dochodów, wydatków i wyniku budżetu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szCs w:val="20"/>
        </w:rPr>
        <w:t>Tabela 1. Zmiany w dochodach i wydatkach w 2024 roku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35 130 108,52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+107 997,79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35 238 106,31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Dochody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17 431 175,99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+107 997,79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17 539 173,78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Dotacje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2 531 230,28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+32 112,87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2 563 343,15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6 541 414,71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+75 884,92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6 617 299,63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ogółem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40 030 812,31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+9 293,80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40 040 106,11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17 664 256,18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+189 580,83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17 853 837,01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Wynagrodzenia i pochodne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8 702 093,59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-68 992,79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8 633 100,80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Pozostałe wydatki bieżące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8 672 162,59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+258 573,62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8 930 736,21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Wydatki majątkowe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22 366 556,13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-180 287,03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22 186 269,10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Wynik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-4 900 703,79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+98 703,99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-4 801 999,80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okresie prognozy WPF dokonano zmian w zakresie planowanych dochodów majątkowych. Zmiany przedstawiono w tabel</w:t>
      </w:r>
      <w:r>
        <w:rPr>
          <w:color w:val="000000"/>
          <w:szCs w:val="20"/>
          <w:u w:color="000000"/>
        </w:rPr>
        <w:t>i</w:t>
      </w:r>
      <w:r>
        <w:rPr>
          <w:color w:val="000000"/>
          <w:szCs w:val="20"/>
          <w:u w:color="000000"/>
        </w:rPr>
        <w:t xml:space="preserve">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2. Zmiany w dochodach majątkowych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+700 000,00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+700 000,00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700 000,00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okresie prognozy WPF dokonano zmian w zakresie planowanych wydatków </w:t>
      </w:r>
      <w:r>
        <w:rPr>
          <w:color w:val="000000"/>
          <w:szCs w:val="20"/>
          <w:u w:color="000000"/>
        </w:rPr>
        <w:t>bieżących</w:t>
      </w:r>
      <w:r>
        <w:rPr>
          <w:color w:val="000000"/>
          <w:szCs w:val="20"/>
          <w:u w:color="000000"/>
        </w:rPr>
        <w:t>. Zmiany przedstawiono w tabel</w:t>
      </w:r>
      <w:r>
        <w:rPr>
          <w:color w:val="000000"/>
          <w:szCs w:val="20"/>
          <w:u w:color="000000"/>
        </w:rPr>
        <w:t>i</w:t>
      </w:r>
      <w:r>
        <w:rPr>
          <w:color w:val="000000"/>
          <w:szCs w:val="20"/>
          <w:u w:color="000000"/>
        </w:rPr>
        <w:t xml:space="preserve">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3. Zmiany w wydatkach bieżących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15 991 604,00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+500 000,00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16 491 604,00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16 534 289,00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+500 000,00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17 034 289,00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4. Zmiany w wydatkach majątkowych w okresie prognozy WPF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4 375 599,00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4 575 599,00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4 908 582,00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+200 000,00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5 108 582,00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br w:type="page"/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Wieloletniej Prognozie Finansowej Gminy Gręboszów: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p</w:t>
      </w:r>
      <w:r>
        <w:rPr>
          <w:color w:val="000000"/>
          <w:szCs w:val="20"/>
          <w:u w:color="000000"/>
        </w:rPr>
        <w:t>rzychody ogółem w roku budżetowym zmniejszono o 98 703,99 zł, w tym przychody z tytułu kredytów, pożyczek lub emisji papierów wartościowych zmniejszono o 98 720,00 zł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r</w:t>
      </w:r>
      <w:r>
        <w:rPr>
          <w:color w:val="000000"/>
          <w:szCs w:val="20"/>
          <w:u w:color="000000"/>
        </w:rPr>
        <w:t>ozchody ogółem w roku budżetowym nie uległy zmianie.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Szczegółowe informacje na temat zmian w zakresie przychodów i rozchodów w roku budżetowym przedstawiono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5. Zmiany w przychodach i rozchodach na 2024 rok.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Przychody budżetu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5 597 233,79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-98 703,99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5 498 529,80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Kredyty, pożyczki, emisja papierów wartościowych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2 098 720,00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-98 720,00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Nadwyżka budżetowa z lat ubiegłych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476 374,92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+16,01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476 390,93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2025</w:t>
      </w:r>
      <w:r>
        <w:rPr>
          <w:color w:val="000000"/>
          <w:szCs w:val="20"/>
          <w:u w:color="000000"/>
        </w:rPr>
        <w:t xml:space="preserve"> r.</w:t>
      </w:r>
      <w:r>
        <w:rPr>
          <w:color w:val="000000"/>
          <w:szCs w:val="20"/>
          <w:u w:color="000000"/>
        </w:rPr>
        <w:t> nie dokonywano zmian w zakresie planowanych przychodów.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Od 2025</w:t>
      </w:r>
      <w:r>
        <w:rPr>
          <w:color w:val="000000"/>
          <w:szCs w:val="20"/>
          <w:u w:color="000000"/>
        </w:rPr>
        <w:t xml:space="preserve"> r.</w:t>
      </w:r>
      <w:r>
        <w:rPr>
          <w:color w:val="000000"/>
          <w:szCs w:val="20"/>
          <w:u w:color="000000"/>
        </w:rPr>
        <w:t> nie dokonywano zmian w zakresie planowanych rozchodów.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zakresie zawartych umów, rozchody Gminy Gręboszów zaplanowano zgodnie z harmonogramami. W tabeli poniżej spłatę ww. zobowiązań przedstawiono w kolumnie „Zobowiązanie historyczne”.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6. Spłata zaciągniętych i planowanych zobowiązań Gminy Gręboszów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1439"/>
        <w:gridCol w:w="2881"/>
        <w:gridCol w:w="2881"/>
        <w:gridCol w:w="288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Zobowiązanie historyczne [zł]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Zobowiązanie planowane [zł]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Zobowiązania razem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600 000,00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1 300 000,00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650 000,00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650 000,00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650 000,00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 Wieloletniej Prognozie Finansowej Gminy Gręboszów na lata 2024-2031 spowodowały modyfikacje w kształtowaniu się relacji z art. 243 ustawy o finansach publicznych. Szczegóły zaprezentowano w tabeli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7. Kształtowanie się relacji z art. 243 ust. 1 ustawy o finansach publicznych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925"/>
        <w:gridCol w:w="1825"/>
        <w:gridCol w:w="1836"/>
        <w:gridCol w:w="1836"/>
        <w:gridCol w:w="1824"/>
        <w:gridCol w:w="18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Obsługa zadłużenia (fakt. i plan. po wyłączeniach)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Zachowanie relacji z art. 243 (w oparciu o wykonanie)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5,94%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9,41%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7,92%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6,85%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8,64%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7,14%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6,27%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7,93%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7,97%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6,78%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8,05%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8,10%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6,80%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10,34%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10,39%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3,19%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10,82%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10,87%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2030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2,99%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11,25%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11,30%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2031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2,98%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12,80%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12,80%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TAK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Dane w tabeli powyżej wskazują, że w całym okresie prognozy Gmina Gręboszów spełnia relację, o której mowa w art. 243 ust. 1 ustawy o finansach publicznych. Spełnienie dotyczy zarówno relacji obliczonej na podstawie planu na dzień 30.09.2023 r. jak i w oparciu o dane z wykonania budżetu.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Zmiana Wieloletniej Prognozy Finansowej Gminy Gręboszów obejmuje również zmiany w załączniku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 2, które szczegółowo opisano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Dokonano zmian w zakresie następujących przedsięwzięć: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w</w:t>
      </w:r>
      <w:r>
        <w:rPr>
          <w:color w:val="000000"/>
          <w:szCs w:val="20"/>
          <w:u w:color="000000"/>
        </w:rPr>
        <w:t> zakresie programów, projektów lub zadań związanych z programami realizowanymi z udziałem środków z UE: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</w:t>
      </w:r>
      <w:r>
        <w:rPr>
          <w:color w:val="000000"/>
          <w:szCs w:val="20"/>
          <w:u w:color="000000"/>
        </w:rPr>
        <w:t>) Odnawialne Źródła Energii - obsługa projektu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-  </w:t>
      </w:r>
      <w:r>
        <w:rPr>
          <w:color w:val="000000"/>
          <w:szCs w:val="20"/>
          <w:u w:color="000000"/>
        </w:rPr>
        <w:t>zmniejszenie łącznych nakładów ogółem, limitu wydatków na realizację zadania w roku budżetowym oraz limitu zobowiązań o kwotę 1 000,00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</w:t>
      </w:r>
      <w:r>
        <w:rPr>
          <w:color w:val="000000"/>
          <w:szCs w:val="20"/>
          <w:u w:color="000000"/>
        </w:rPr>
        <w:t>)</w:t>
      </w:r>
      <w:r>
        <w:rPr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>w</w:t>
      </w:r>
      <w:r>
        <w:rPr>
          <w:color w:val="000000"/>
          <w:szCs w:val="20"/>
          <w:u w:color="000000"/>
        </w:rPr>
        <w:t> zakresie programów, projektów lub zadań innych (finansowanych ze środków krajowych):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</w:t>
      </w:r>
      <w:r>
        <w:rPr>
          <w:color w:val="000000"/>
          <w:szCs w:val="20"/>
          <w:u w:color="000000"/>
        </w:rPr>
        <w:t xml:space="preserve">) </w:t>
      </w:r>
      <w:r>
        <w:rPr>
          <w:color w:val="000000"/>
          <w:szCs w:val="20"/>
          <w:u w:color="000000"/>
        </w:rPr>
        <w:t>f</w:t>
      </w:r>
      <w:r>
        <w:rPr>
          <w:color w:val="000000"/>
          <w:szCs w:val="20"/>
          <w:u w:color="000000"/>
        </w:rPr>
        <w:t>inansowanie utrzymania mieszkańców gminy w Domach Pomocy Społecznej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zwiększenie łącznych nakładów ogółem, limitu wydatków na realizację zadania w roku budżetowym oraz limitu zobowiązań o kwotę 20 000,00 zł;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</w:t>
      </w:r>
      <w:r>
        <w:rPr>
          <w:color w:val="000000"/>
          <w:szCs w:val="20"/>
          <w:u w:color="000000"/>
        </w:rPr>
        <w:t xml:space="preserve">) </w:t>
      </w:r>
      <w:r>
        <w:rPr>
          <w:color w:val="000000"/>
          <w:szCs w:val="20"/>
          <w:u w:color="000000"/>
        </w:rPr>
        <w:t>m</w:t>
      </w:r>
      <w:r>
        <w:rPr>
          <w:color w:val="000000"/>
          <w:szCs w:val="20"/>
          <w:u w:color="000000"/>
        </w:rPr>
        <w:t>odernizacja oświetlenia ulicznego w gminie – zmiana w przedsięwzięciu obejmuje m.in.: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27" w:right="0" w:hanging="11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- zwiększenie łącznych nakładów ogółem, limitu wydatków na realizację zadania w roku budżetowym oraz limitu zobowiązań o kwotę 20 000,00 zł.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Zmiany wprowadzone w wykazie wieloletnich przedsięwzięć nie spowodowały zmiany horyzontu czasowego załącznika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 2 WPF.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Zmiany wprowadzone w wykazie wieloletnich przedsięwzięć wpłynęły na zmianę pozycji 10.1.1 i 10.1.2 WPF, co przedstawiono w tabelach poniżej.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8. Zmiany w wydatkach bieżących objętych limitem z art. 226 ust. 3 pkt 4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2 042 938,00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+19 000,00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2 061 938,00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Tabela 9. Zmiany w wydatkach majątkowych objętych limitem z art. 226 ust. 3 pkt 4</w:t>
      </w: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</w:tblPr>
      <w:tblGrid>
        <w:gridCol w:w="2520"/>
        <w:gridCol w:w="2520"/>
        <w:gridCol w:w="2521"/>
        <w:gridCol w:w="252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Przed zmianą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Zmiana [zł]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b/>
                <w:sz w:val="20"/>
                <w:szCs w:val="20"/>
              </w:rPr>
              <w:t>Po zmianie [zł]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center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12 716 000,00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+20 000,00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 w:val="0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right"/>
              <w:rPr>
                <w:color w:val="000000"/>
                <w:szCs w:val="20"/>
                <w:u w:color="000000"/>
              </w:rPr>
            </w:pPr>
            <w:r>
              <w:rPr>
                <w:sz w:val="20"/>
                <w:szCs w:val="20"/>
              </w:rPr>
              <w:t>12 736 000,00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Źródło: opracowanie własne.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Wartości wykazane w pozostałych pozycjach WPF, stanowią informacje uzupełniające względem pozycji opisanych powyżej. Zostały przedstawione w WPF zgodnie z obowiązującym stanem faktycznym, na podstawie zawartych umów i porozumień.</w:t>
      </w:r>
    </w:p>
    <w:p>
      <w:pPr>
        <w:keepNext/>
        <w:keepLines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Pełen zakres zmian obrazują załączniki </w:t>
      </w:r>
      <w:r>
        <w:rPr>
          <w:color w:val="000000"/>
          <w:szCs w:val="20"/>
          <w:u w:color="000000"/>
        </w:rPr>
        <w:t>N</w:t>
      </w:r>
      <w:r>
        <w:rPr>
          <w:color w:val="000000"/>
          <w:szCs w:val="20"/>
          <w:u w:color="000000"/>
        </w:rPr>
        <w:t>r 1 i 2 do niniejszej uchwały.</w:t>
      </w:r>
    </w:p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</w:rPr>
        <w:t> </w:t>
      </w:r>
    </w:p>
    <w:tbl>
      <w:tblPr>
        <w:tblStyle w:val="TableNormal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39"/>
        <w:gridCol w:w="4927"/>
      </w:tblGrid>
      <w:tr>
        <w:tblPrEx>
          <w:tblW w:w="5000" w:type="pct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44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uppressAutoHyphens w:val="0"/>
              <w:spacing w:before="0" w:beforeAutospacing="0" w:after="0" w:afterAutospacing="0" w:line="240" w:lineRule="auto"/>
              <w:ind w:left="0" w:right="0" w:firstLine="0"/>
              <w:contextualSpacing w:val="0"/>
              <w:jc w:val="left"/>
              <w:rPr>
                <w:color w:val="000000"/>
                <w:szCs w:val="20"/>
              </w:rPr>
            </w:pPr>
          </w:p>
        </w:tc>
        <w:tc>
          <w:tcPr>
            <w:tcW w:w="493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widowControl/>
              <w:suppressLineNumbers w:val="0"/>
              <w:shd w:val="clear" w:color="auto" w:fill="auto"/>
              <w:suppressAutoHyphens w:val="0"/>
              <w:spacing w:before="560" w:beforeAutospacing="0" w:after="560" w:afterAutospacing="0" w:line="240" w:lineRule="auto"/>
              <w:ind w:left="1134" w:right="1134" w:firstLine="0"/>
              <w:contextualSpacing w:val="0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fldChar w:fldCharType="begin"/>
            </w:r>
            <w:r>
              <w:rPr>
                <w:color w:val="000000"/>
                <w:szCs w:val="20"/>
              </w:rPr>
              <w:instrText>MERGEFIELD SIGNATURE_0_0__FUNCTION \* MERGEFORMAT</w:instrText>
            </w:r>
            <w:r>
              <w:rPr>
                <w:color w:val="000000"/>
                <w:szCs w:val="20"/>
              </w:rPr>
              <w:fldChar w:fldCharType="separate"/>
            </w:r>
            <w:r>
              <w:rPr>
                <w:color w:val="000000"/>
                <w:szCs w:val="20"/>
              </w:rPr>
              <w:t>Przewodniczący Rady Gminy Gręboszów</w:t>
            </w:r>
            <w:r>
              <w:rPr>
                <w:color w:val="000000"/>
                <w:szCs w:val="20"/>
              </w:rPr>
              <w:fldChar w:fldCharType="end"/>
            </w:r>
            <w:r>
              <w:rPr>
                <w:color w:val="000000"/>
                <w:szCs w:val="20"/>
              </w:rPr>
              <w:br/>
              <w:br/>
              <w:br/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SIGNATURE_0_0_FIRSTNAME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Wiesław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  <w:r>
              <w:rPr>
                <w:b/>
                <w:color w:val="000000"/>
                <w:szCs w:val="20"/>
              </w:rPr>
              <w:fldChar w:fldCharType="begin"/>
            </w:r>
            <w:r>
              <w:rPr>
                <w:b/>
                <w:color w:val="000000"/>
                <w:szCs w:val="20"/>
              </w:rPr>
              <w:instrText>MERGEFIELD SIGNATURE_0_0_LASTNAME \* MERGEFORMAT</w:instrText>
            </w:r>
            <w:r>
              <w:rPr>
                <w:b/>
                <w:color w:val="000000"/>
                <w:szCs w:val="20"/>
              </w:rPr>
              <w:fldChar w:fldCharType="separate"/>
            </w:r>
            <w:r>
              <w:rPr>
                <w:b/>
                <w:color w:val="000000"/>
                <w:szCs w:val="20"/>
              </w:rPr>
              <w:t>Wytrwał</w:t>
            </w:r>
            <w:r>
              <w:rPr>
                <w:b/>
                <w:color w:val="000000"/>
                <w:szCs w:val="20"/>
              </w:rPr>
              <w:fldChar w:fldCharType="end"/>
            </w:r>
            <w:r>
              <w:rPr>
                <w:b/>
                <w:color w:val="000000"/>
                <w:szCs w:val="20"/>
              </w:rPr>
              <w:t> </w:t>
            </w:r>
          </w:p>
        </w:tc>
      </w:tr>
    </w:tbl>
    <w:p>
      <w:pPr>
        <w:keepNext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color w:val="000000"/>
          <w:szCs w:val="20"/>
          <w:u w:color="000000"/>
        </w:rPr>
      </w:pPr>
    </w:p>
    <w:sectPr>
      <w:footerReference w:type="default" r:id="rId8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6F064282-115E-4C77-91DD-284DFA15FA60.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6F064282-115E-4C77-91DD-284DFA15FA60.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14514"/>
      <w:gridCol w:w="7257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14514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6F064282-115E-4C77-91DD-284DFA15FA60. Projekt</w:t>
          </w:r>
        </w:p>
      </w:tc>
      <w:tc>
        <w:tcPr>
          <w:tcW w:w="725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6F064282-115E-4C77-91DD-284DFA15FA60.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pPr>
        <w:spacing w:after="0" w:line="240" w:lineRule="auto"/>
      </w:pPr>
      <w:r>
        <w:separator/>
      </w:r>
    </w:p>
  </w:footnote>
  <w:footnote w:type="continuationSeparator" w:id="1">
    <w:p>
      <w:pPr>
        <w:spacing w:after="0" w:line="240" w:lineRule="auto"/>
      </w:pPr>
      <w:r>
        <w:continuationSeparator/>
      </w:r>
    </w:p>
  </w:footnote>
  <w:footnote w:id="2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1) z 2023 r. 1273, 497, 1407, 1641 i 1872, 1693 i 1429, z 2024 r. poz. 1089)</w:t>
      </w:r>
    </w:p>
  </w:footnote>
  <w:footnote w:id="3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Wzór może być stosowany także w układzie pionowym, w którym poszczególne pozycje są przedstawione w kolumnach, a lata w wierszach.</w:t>
      </w:r>
    </w:p>
  </w:footnote>
  <w:footnote w:id="4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dochody o charakterze celowym, które jednostka otrzymuje od podmiotów zewnętrznych. W szczególności pozycja obejmuje dotacje celowe z budżetu państwa na zadania bieżące oraz dotacje i środki na finansowanie wydatków bieżących na realizację zadań finansowanych z udziałem środków, o których mowa w art. 5 ust. 1 pkt 2 i 3 ustawy. W pozycji nie wykazuje się natomiast dochodów związanych ze szczególnymi zasadami wykonywania budżetu jednostki wynikającymi z odrębnych ustaw, o których mowa w art. 237 ust. 1 ustawy.</w:t>
      </w:r>
    </w:p>
  </w:footnote>
  <w:footnote w:id="5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wykazuje się pozostałe dochody bieżące w szczególności kwoty podatków i opłat lokalnych.</w:t>
      </w:r>
    </w:p>
  </w:footnote>
  <w:footnote w:id="6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Inne przeznaczenie nadwyżki budżetowej wymaga określenia w objaśnieniach do wieloletniej prognozy finansowej.</w:t>
      </w:r>
    </w:p>
  </w:footnote>
  <w:footnote w:id="7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środki pieniężne znajdujące się na rachunku budżetu pochodzące z nadwyżek poprzednich budżetów, łącznie z niewykorzystanymi środkami, o których mowa w art. 217 ust. 2 pkt 8 ustawy.</w:t>
      </w:r>
    </w:p>
  </w:footnote>
  <w:footnote w:id="8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6)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w szczególności przychody pochodzące z prywatyzacji majątku jednostki samorządu terytorialnego.</w:t>
      </w:r>
    </w:p>
  </w:footnote>
  <w:footnote w:id="9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7)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Skorygowanie o środki dotyczy określonego w art. 242 ustawy powiększenia o odpowiednie dla roku prognozy przychody wskazane w art. 217 ust. 2 ustawy. Skutki finansowe wyłączeń ograniczenia, o którym mowa w art. 242 ustawy, zawarte w innych ustawach należy ująć w objaśnieniach dołączanych do wieloletniej prognozy finansowej zgodnie z art. 226 ust. 2a ustawy.</w:t>
      </w:r>
    </w:p>
  </w:footnote>
  <w:footnote w:id="10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8)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W pozycji należy ująć kwoty wydatków bieżących, o które zostają pomniejszone wydatki bieżące budżetu przy wyliczaniu limitu spłaty zobowiązań określonego po prawej stronie nierówności we wzorze, o którym mowa w art. 243 ustawy, na podstawie odrębnych ustaw, bez wydatków bieżących na obsługę długu.W szczególności należy ująć wydatki poniesione w celu realizacji zadań związanych z przeciwdziałaniem COVID-19.</w:t>
      </w:r>
    </w:p>
  </w:footnote>
  <w:footnote w:id="11">
    <w:p>
      <w:pPr>
        <w:pStyle w:val="FootnoteText"/>
        <w:keepNext w:val="0"/>
        <w:keepLines/>
        <w:spacing w:before="0" w:after="0" w:line="240" w:lineRule="auto"/>
        <w:ind w:left="170" w:right="0" w:hanging="170"/>
        <w:jc w:val="both"/>
        <w:rPr>
          <w:rFonts w:ascii="Times New Roman" w:eastAsia="Times New Roman" w:hAnsi="Times New Roman" w:cs="Times New Roman"/>
          <w:sz w:val="20"/>
        </w:rPr>
      </w:pPr>
      <w:r>
        <w:rPr>
          <w:rStyle w:val="FootnoteReference"/>
          <w:b w:val="0"/>
          <w:caps w:val="0"/>
        </w:rPr>
        <w:t>9) </w:t>
      </w:r>
      <w:r>
        <w:rPr>
          <w:rFonts w:ascii="Times New Roman" w:eastAsia="Times New Roman" w:hAnsi="Times New Roman" w:cs="Times New Roman"/>
          <w:b w:val="0"/>
          <w:caps w:val="0"/>
          <w:sz w:val="20"/>
        </w:rPr>
        <w:t>Zgodnie z art. 227 ustawy z dnia 27 sierpnia 2009 r. o finansach publicznych (Dz. U. z 2019 r. poz. 869, z późn. zm.), zwanej dalej „ustawą”, wieloletnia prognoza finansowa obejmuje okres roku budżetowego oraz co najmniej trzech kolejnych lat. W sytuacji dłuższego okresu prognozowania finansowego wzór stosuje się dla lat wykraczających poza minimalny (4-letni) okres prognozy wynikający z art. 227 ustawy.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basedOn w:val="DefaultParagraphFont"/>
    <w:rsid w:val="00805BCE"/>
    <w:rPr>
      <w:vertAlign w:val="superscript"/>
    </w:rPr>
  </w:style>
  <w:style w:type="paragraph" w:styleId="FootnoteText">
    <w:name w:val="footnote text"/>
    <w:basedOn w:val="Normal"/>
    <w:rsid w:val="00805BC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footer" Target="footer4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IV/38/2024 z dnia 24 września 2024 r.</dc:title>
  <dc:subject>w sprawie zmiany Wieloletniej Prognozy Finansowej Gminy Gręboszów na lata 2024^- 2031</dc:subject>
  <dc:creator>marcin.janowiec</dc:creator>
  <cp:lastModifiedBy>marcin.janowiec</cp:lastModifiedBy>
  <cp:revision>1</cp:revision>
  <dcterms:created xsi:type="dcterms:W3CDTF">2024-09-18T11:08:39Z</dcterms:created>
  <dcterms:modified xsi:type="dcterms:W3CDTF">2024-09-18T11:08:39Z</dcterms:modified>
  <cp:category>Akt prawny</cp:category>
</cp:coreProperties>
</file>