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22 listopada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VII/57/2024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29 listopada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zmieniająca uchwałę w sprawie ustalenia wysokości diet i zwrotu kosztów podróży dla radnych Rady Gminy Gręboszów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4, 6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8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 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1572), §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rozporządzenia Rady Ministrów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października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sprawie maksymalnej wysokości diet przysługujących radnemu gminy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1974) oraz §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rozporządzenia Ministra Spraw Wewnętrznych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Administracji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lipca 2000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sprawie sposobu ustalania należności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tytułu zwrotu kosztów podróży służbowych radnych gminy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66,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800,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2002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138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33,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280),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 uchwale Nr XXXI/278/2021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grudnia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sprawie ustalenia wysokości diet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zwrotu kosztów podróży dla radnych Rady Gminy Gręboszów (Dz. Urz. Woj. Małop.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7501), 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otrzymuje brzmienie „§ 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Wysokość diety,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ulega obniżeniu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5% za każdą nieobecność radnego na sesji Rady Gminy Gręboszów oraz posiedzeniu Komisji Stałej, której jest członkiem,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tym również na posiedzeniu wspólnym Komisji Stałych Rady Gminy Gręboszów”.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Pozostała treść uchwały pozostaje bez zmian.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Dzienniku Urzędowym Województwa Małopolskiego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 od dnia ogłoszenia.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left"/>
        <w:rPr>
          <w:szCs w:val="20"/>
        </w:rPr>
      </w:pPr>
      <w:r>
        <w:rPr>
          <w:szCs w:val="20"/>
        </w:rPr>
        <w:t>Proponowana w niniejszej uchwale zmiana zapisu § 2 doprecyzowuje, w sposób niebudzący wątpliwości wysokość diety radnego w przypadku nieobecności na sesji Rady Gminy Gręboszów oraz posiedzeniach Komisji Stałych Rady Gminy.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6E5E5F28-80E2-43ED-B692-BCF1511A944B.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6E5E5F28-80E2-43ED-B692-BCF1511A944B.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VII/57/2024 z dnia 29 listopada 2024 r.</dc:title>
  <dc:subject>zmieniająca uchwałę w^sprawie ustalenia wysokości diet i^zwrotu kosztów podróży dla radnych Rady Gminy Gręboszów</dc:subject>
  <dc:creator>marcin.janowiec</dc:creator>
  <cp:lastModifiedBy>marcin.janowiec</cp:lastModifiedBy>
  <cp:revision>1</cp:revision>
  <dcterms:created xsi:type="dcterms:W3CDTF">2024-11-22T11:57:12Z</dcterms:created>
  <dcterms:modified xsi:type="dcterms:W3CDTF">2024-11-22T11:57:12Z</dcterms:modified>
  <cp:category>Akt prawny</cp:category>
</cp:coreProperties>
</file>