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22 listopada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VII/53/2024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29 listopada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wysokości i zasad poboru dziennych stawek opłaty targowej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na terenie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1572)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70,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1635)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wysokość dziennej stawki opłaty targowej od osób fizycznych, osób prawnych oraz jednostek organizacyjnych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mających osobowości prawnej dokonujących sprzedaży na terenie Gminy Gręboszów, jak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załączniku 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Zarządza się pobór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drodze inkasa.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Pobór opłaty targowej następuje do rąk inkasenta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sprzedaży za urzędowym pokwitowaniem.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Inkasent zobowiązany jest do wpłacenia zainkasowanych kwot opłaty targowej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następnym po zbiórce na konto Urzędu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się, że inkasentem opłaty targowej jest Pani Ewelina Dudek.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wynagrodzenie za inkaso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25% zainkasowanych kwot.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po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9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uchwały Nr VII/53/2024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listopada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Dzienna stawka opłaty targowej za sprzedaż: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ręki, wiadra lub kosza - 5,00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skrzynki: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skrzynek - 5,00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powyżej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skrzynek - 10,00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stolika lub ławy - 10,00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straganu lub wiaty - 20,00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samochodu osobowego - 20,00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przyczepki - 20,00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samochodu innego niż osobowy: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całkowitej ładowności do 3,5 t - 30,00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całkowitej ładowności powyżej 3,5 t - 40,00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19 pkt 1 lit.a i pkt 2 ustawy z dnia 12 stycznia 1991 r. o podatkach i opłatach lokalnych (Dz. U. z 2023 r. poz. 70, z 2024 r. poz. 1635) Rada Gminy w drodze uchwały, określa wysokości i zasady poboru dziennych stawek opłaty targowej, z tym że nie mogą one przekroczyć stawki maksymalnej określonej na dany rok podatkowy przez ministra właściwego do spraw finansów publicznych. Zgodnie z Obwieszczeniem Ministra Finansów z dnia 25 lipca 2024 r. w sprawie górnych granic stawek kwotowych podatków i opłat lokalnych na rok 2025 (M.P. z 2024 r. poz. 716) maksymalna dzienna stawka opłaty targowej wynosi 1126,00 zł. Proponowane stawki są takie same jak w 2024 roku.</w:t>
      </w:r>
    </w:p>
    <w:sectPr>
      <w:footerReference w:type="default" r:id="rId6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D93CBD6C-C0E1-4A92-A5D4-6BD46590FD9B.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D93CBD6C-C0E1-4A92-A5D4-6BD46590FD9B.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D93CBD6C-C0E1-4A92-A5D4-6BD46590FD9B.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VII/53/2024 z dnia 29 listopada 2024 r.</dc:title>
  <dc:subject>w sprawie ustalenia wysokości i^zasad poboru dziennych stawek opłaty targowej
na terenie gminy Gręboszów na rok 2025</dc:subject>
  <dc:creator>marcin.janowiec</dc:creator>
  <cp:lastModifiedBy>marcin.janowiec</cp:lastModifiedBy>
  <cp:revision>1</cp:revision>
  <dcterms:created xsi:type="dcterms:W3CDTF">2024-11-22T11:41:36Z</dcterms:created>
  <dcterms:modified xsi:type="dcterms:W3CDTF">2024-11-22T11:41:36Z</dcterms:modified>
  <cp:category>Akt prawny</cp:category>
</cp:coreProperties>
</file>