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5C39" w14:textId="42F88C44" w:rsidR="00112178" w:rsidRDefault="00642ACD">
      <w:r>
        <w:t>Komisja Skarg Wniosków i Petycji na posiedzeniu w dniu 14.04.2025 r. zaopiniowała, iż petycja jest bezzasadna kierując do Przewodniczącego Rady Gminy Gręboszów wniosek o podjęcie uchwały w sprawie uznania petycji za bezzasadną.</w:t>
      </w:r>
    </w:p>
    <w:sectPr w:rsidR="00112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CD"/>
    <w:rsid w:val="000B4956"/>
    <w:rsid w:val="00112178"/>
    <w:rsid w:val="00642ACD"/>
    <w:rsid w:val="00A2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680F"/>
  <w15:chartTrackingRefBased/>
  <w15:docId w15:val="{2C5C0111-6396-482B-AB4B-AE44684C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A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A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A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A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A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A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2A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2A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2A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A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2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196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1</cp:revision>
  <dcterms:created xsi:type="dcterms:W3CDTF">2025-04-14T07:26:00Z</dcterms:created>
  <dcterms:modified xsi:type="dcterms:W3CDTF">2025-04-14T07:31:00Z</dcterms:modified>
</cp:coreProperties>
</file>