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XI/78/2025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Wieloletniej Prognozy Finansowej Gminy Gręboszów na lata 2025-2031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VIII/63/2024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Wieloletniej Prognozy Finansowej Gminy Gręboszów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VIII/63/2024 Rady Gminy Gręboszów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24"/>
        <w:gridCol w:w="469"/>
        <w:gridCol w:w="444"/>
        <w:gridCol w:w="444"/>
        <w:gridCol w:w="6048"/>
        <w:gridCol w:w="1"/>
        <w:gridCol w:w="1823"/>
        <w:gridCol w:w="1"/>
        <w:gridCol w:w="1823"/>
        <w:gridCol w:w="1"/>
        <w:gridCol w:w="1823"/>
        <w:gridCol w:w="1"/>
        <w:gridCol w:w="1823"/>
        <w:gridCol w:w="1"/>
        <w:gridCol w:w="1812"/>
        <w:gridCol w:w="1"/>
        <w:gridCol w:w="1823"/>
        <w:gridCol w:w="1"/>
        <w:gridCol w:w="18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Wyszczególnienie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2029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2030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 Dochody ogółem</w:t>
            </w:r>
            <w:r>
              <w:rPr>
                <w:b/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37 351 242,32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33 019 089,00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23 571 055,00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23 594 645,00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24 135 695,00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24 774 087,00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25 525 909,00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bieżące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z tego: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21 091 959,90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22 801 410,00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22 871 055,00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22 894 645,00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23 485 695,00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24 124 087,00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24 727 189,00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udziału we wpływach z podatku dochodowego od osób fizycznych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5 329 543,08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6 112 986,00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6 302 489,00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6 478 959,00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6 660 370,00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6 826 879,00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6 997 551,00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udziału we wpływach z podatku dochodowego od osób prawnych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48 840,46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56 020,00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57 757,00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59 374,00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61 036,00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62 562,00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64 126,00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subwencji ogólnej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4 681 403,45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5 326 205,00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5 491 317,00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5 445 074,00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5 803 136,00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5 948 214,00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6 096 919,00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2 025 086,25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1 714 694,00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1 767 850,00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1 800 350,00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1 868 236,00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1 914 942,00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1 962 816,00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9 007 086,66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9 591 505,00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9 251 642,00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9 110 888,00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9 092 917,00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9 371 490,00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9 605 777,00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1.1.5.1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podatku od nieruchomości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2 960 000,00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3 105 140,00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3 198 299,00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3 385 051,00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3 274 232,00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3 356 088,00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3 439 990,00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majątkowe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16 259 282,42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10 217 679,00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ze sprzedaży majątku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1 067 260,00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217 679,00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1.2.2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tytułu dotacji oraz środków przeznaczonych na inwestycje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15 192 022,42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2. Wydatki ogółem</w:t>
            </w:r>
            <w:r>
              <w:rPr>
                <w:b/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37 271 661,35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32 019 089,00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22 171 055,00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21 994 645,00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23 535 695,00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24 124 087,00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24 775 909,00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bieżące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19 328 664,03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18 852 004,00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19 428 425,00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19 984 883,00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20 445 222,00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20 932 627,00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21 430 693,00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wynagrodzenia i składki od nich naliczane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9 690 330,63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10 321 702,00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10 768 116,00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11 196 149,00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11 495 646,00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11 794 533,00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12 092 345,00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tytułu poręczeń i gwarancji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gwarancje i poręczenia podlegające wyłączeniu z limitu spłaty zobowiązań, o którym mowa w art. 243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na obsługę długu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355 000,00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295 425,00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211 325,00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128 525,00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72 862,00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39 462,00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2.1.3.1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2.1.3.2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2.1.3.3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pozostałe odsetki i dyskonto podlegające wyłączeniu z limitu spłaty zobowiązań, o którym mowa w art. 243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majątkowe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17 942 997,32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13 167 085,00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2 742 630,00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2 009 762,00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3 090 473,00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3 191 460,00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3 345 216,00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Inwestycje i zakupy inwestycyjne, o których mowa w art. 236 ust. 4 pkt 1 ustawy,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17 942 997,32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13 167 085,00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2 742 630,00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2 009 762,00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3 090 473,00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3 191 460,00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3 345 216,00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2.2.1.1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o charakterze dotacyjnym na inwestycje i zakupy inwestycyjne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1 846 600,00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3. Wynik budżetu</w:t>
            </w:r>
            <w:r>
              <w:rPr>
                <w:b/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79 580,97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79 580,97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4. Przychody budżetu</w:t>
            </w:r>
            <w:r>
              <w:rPr>
                <w:b/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320 419,03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Kredyty, pożyczki, emisja papierów wartościowych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pokrycie deficytu budżetu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236 774,07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pokrycie deficytu budżetu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ust.2 pkt 6 ustawy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83 644,96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4.3.1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pokrycie deficytu budżetu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Spłaty udzielonych pożyczek w latach ubiegłych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4.4.1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pokrycie deficytu budżetu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4.5.1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 pokrycie deficytu budżetu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5. Rozchody budżetu</w:t>
            </w:r>
            <w:r>
              <w:rPr>
                <w:b/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Spłaty rat kapitałowych kredytów i pożyczek oraz wykup papierów wartościowych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przypadających na dany rok kwot ustawowych wyłączeń z limitu spłaty zobowiązań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z tego: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przypadających na dany rok kwot wyłączeń określonych w art. 243 ust. 3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przypadających na dany rok kwot wyłączeń określonych w art. 243 ust. 3a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wyłączeń z tytułu wcześniejszej spłaty zobowiązań, określonych w art. 243 ust. 3b ustawy, z tego: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5.1.1.3.1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środkami nowego zobowiązania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5.1.1.3.2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wolnymi środkami, o których mowa w art. 217 ust. 2 pkt 6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5.1.1.3.3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innymi środkami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5.1.1.4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przypadających na dany rok kwot pozostałych ustawowych wyłączeń z limitu spłaty zobowiązań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Inne rozchody niezwiązane ze spłatą długu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6. Kwota długu</w:t>
            </w:r>
            <w:r>
              <w:rPr>
                <w:b/>
                <w:sz w:val="16"/>
                <w:vertAlign w:val="superscript"/>
              </w:rPr>
              <w:t>X</w:t>
            </w:r>
            <w:r>
              <w:rPr>
                <w:b/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długu, którego planowana spłata dokona się z wydatków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7. Relacja zrównoważenia wydatków bieżących, o której mowa w art. 242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Różnica między dochodami bieżącymi a wydatkami bieżącymi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1 763 295,87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3 949 406,00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3 442 630,00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2 909 762,00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3 040 473,00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3 191 460,00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2 083 714,90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3 949 406,00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3 442 630,00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2 909 762,00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3 040 473,00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3 191 460,00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8. Wskaźnik spłaty zobowiązań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3,96%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6,14%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7,64%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8,19%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3,11%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3,10%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3,35%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11,12%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20,13%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17,31%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14,40%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14,40%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14,55%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14,53%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Dopuszczalny limit spłaty zobowiązań określony po prawej stronie nierówności we wzorze, o którym mowa w art. 243 ustawy, po uwzględnieniu ustawowych wyłączeń, obliczony w oparciu o plan 3 kwartału roku poprzedzającego pierwszy rok prognozy (wskaźnik ustalony w oparciu o średnią arytmetyczną z poprzednich lat)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7,24%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7,65%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9,68%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10,96%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12,10%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12,34%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13,76%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8.3.1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 poprzednich lat)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3,99%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6,25%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8,29%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9,56%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10,70%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10,95%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12,36%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8.4.1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bieżące na programy, projekty lub zadania finansowane z udziałem środków, o których mowa w art. 5 ust. 1 pkt 2 i 3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Dotacje i środki o charakterze bieżącym na realizację programu, projektu lub zadania finansowanego z udziałem środków, o których mowa w art. 5 ust. 1 pkt 2 ustawy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9.1.1.1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określone w art. 5 ust. 1 pkt 2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majątkowe na programy, projekty lub zadania finansowane z udziałem środków, o których mowa w art. 5 ust. 1 pkt 2 i 3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1 038 476,20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1 038 476,20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9.2.1.1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określone w art. 5 ust. 1 pkt 2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773 999,08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bieżące na programy, projekty lub zadania finansowane z udziałem środków, o których mowa w art. 5 ust. 1 pkt 2 i 3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2 861,64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340 000,00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9.3.1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bieżące na programy, projekty lub zadania finansowane z udziałem środków, o których mowa w art. 5 ust. 1 pkt 2 ustawy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2 861,64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9.3.1.1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finansowane środkami określonymi w art. 5 ust. 1 pkt 2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majątkowe na programy, projekty lub zadania finansowane z udziałem środków, o których mowa w art. 5 ust. 1 pkt 2 i 3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288 476,20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9.4.1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288 476,20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9.4.1.1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finansowane środkami określonymi w art. 5 ust. 1 pkt 2 ustawy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233 999,08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10. Informacje uzupełniające o wybranych kategoriach finansowych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objęte limitem, o którym mowa w art. 226 ust. 3 pkt 4 ustawy, z tego: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16 943 776,20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11 779 223,80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4 322 000,00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4 202 000,00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4 644 000,00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2 746 000,00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bieżące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2 178 000,00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2 759 000,00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2 720 000,00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2 702 000,00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2 644 000,00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2 746 000,00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10.1.2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majątkowe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14 765 776,20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9 020 223,80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1 602 000,00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bieżące na pokrycie ujemnego wyniku finansowego samodzielnego publicznego zakładu opieki zdrowotnej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Spłaty, o których mowa w poz. 5.1, wynikające wyłącznie z tytułu zobowiązań już zaciągniętych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zmniejszające dług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spłata zobowiązań wymagalnych z lat poprzednich, innych niż w poz. 10.7.3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10.7.2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spłata zobowiązań zaliczanych do tytułu dłużnego – kredyt i pożyczka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10.7.2.1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zobowiązań zaciągniętych po dniu 1 stycznia 2019 r.</w:t>
            </w:r>
            <w:r>
              <w:rPr>
                <w:sz w:val="16"/>
                <w:vertAlign w:val="superscript"/>
              </w:rPr>
              <w:t>X</w:t>
            </w:r>
            <w:r>
              <w:rPr>
                <w:sz w:val="16"/>
              </w:rPr>
              <w:t>, w tym: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10.7.2.1.1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dokonywana w formie wydatku bieżącego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10.7.3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wypłaty z tytułu wymagalnych poręczeń i gwarancji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Kwota wzrostu(+)/spadku(−) kwoty długu wynikająca z operacji niekasowych (m.in. umorzenia, różnice kursowe)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6"/>
                <w:vertAlign w:val="superscript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 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2437"/>
        <w:gridCol w:w="1848"/>
        <w:gridCol w:w="661"/>
        <w:gridCol w:w="660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47 497 000,00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16 943 776,20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11 779 223,80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4 322 000,00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4 202 000,00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47 497 000,00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18 609 000,00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18 609 000,00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28 888 000,00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14 765 776,20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9 020 223,80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1 602 000,00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28 888 000,00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2 042 223,80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Rozbudowa, przebudowa i doposażenie Punktu Selektywnej Zbiórki Odpadów Komunalnych w Gręboszowie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Projekt związany z zatrudnieniem ekodoradcy,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1 702 223,80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zadania „Cyberbezpieczny samorząd” - Podniesienie poziomu cyberbezpieczeństwa jednostek gminnych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Rozbudowa, przebudowa i doposażenie Punktu Selektywnej Zbiórki Odpadów Komunalnych w Gręboszowie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centrum miejscowości Gręboszów - Stworzenie warunków do wzmocnienia integracji społecznej mieszkańców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44 907 000,00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16 766 000,00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9 737 000,00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4 082 000,00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44 907 000,00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Wywóz odpadów komunalnych z terenu Gminy Gręboszów - Wywóż śmieci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26 978 000,00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14 588 000,00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7 318 000,00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26 978 000,00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 zapleczem sanitarnym przy boisku w miejscowości Ujście Jezuickie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143 000,00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miejscowości Gręboszów - Budowa przedszkola publicznego wraz ze żłobkiem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9 231 000,00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 miejscowości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Zakup średniego samochodu ratowniczo-gaśniczego w ramach projektu "Bezpieczna Małopolska - Bon na ratowanie - Straż pożarna"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DW 973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217 000,00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right"/>
        <w:rPr>
          <w:szCs w:val="20"/>
        </w:rPr>
      </w:pPr>
      <w:r>
        <w:rPr>
          <w:szCs w:val="20"/>
        </w:rPr>
        <w:t>Załącznik Nr 3 do uchwały Nr ......./2025</w:t>
        <w:br/>
        <w:t>Rady Gminy Gręboszów</w:t>
        <w:br/>
        <w:t>z dnia 27 maja 2025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Objaśnienia przyjętych wartości do Wieloletniej Prognozy Finansowej Gminy Gręboszów na lata 2025-2031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ze zmianami w budżecie na dzień 27 maja 2025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d</w:t>
      </w:r>
      <w:r>
        <w:rPr>
          <w:color w:val="000000"/>
          <w:szCs w:val="20"/>
          <w:u w:color="000000"/>
        </w:rPr>
        <w:t>ochody ogółem zwiększono o 740 820,08 zł, z czego dochody bieżące zwiększono o 557 273,86 zł, a dochody majątkowe zwiększono o 183 546,22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 w</w:t>
      </w:r>
      <w:r>
        <w:rPr>
          <w:color w:val="000000"/>
          <w:szCs w:val="20"/>
          <w:u w:color="000000"/>
        </w:rPr>
        <w:t>ydatki ogółem zwiększono o 740 820,08 zł, z czego wydatki bieżące zwiększono o 537 032,70 zł, a wydatki majątkowe zwiększono o 203 787,38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</w:t>
      </w:r>
      <w:r>
        <w:rPr>
          <w:color w:val="000000"/>
          <w:szCs w:val="20"/>
          <w:u w:color="000000"/>
        </w:rPr>
        <w:t>) w</w:t>
      </w:r>
      <w:r>
        <w:rPr>
          <w:color w:val="000000"/>
          <w:szCs w:val="20"/>
          <w:u w:color="000000"/>
        </w:rPr>
        <w:t>ynik budżetu nie uległ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dochodów, wydatków i wyniku budżetu w roku budżetowym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dochodach i wydatkach w 2025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36 610 422,24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+740 820,08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37 351 242,32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20 534 686,04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+557 273,86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21 091 959,90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Subwencja ogólna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4 643 596,45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+37 807,00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4 681 403,45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1 585 915,09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+439 171,16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2 025 086,25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8 926 790,96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+80 295,70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9 007 086,66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Dochody majątkowe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16 075 736,20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+183 546,22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16 259 282,42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36 530 841,27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+740 820,08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37 271 661,35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18 791 631,33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+537 032,70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19 328 664,03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Wynagrodzenia i pochodne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9 676 581,54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+13 749,09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9 690 330,63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8 760 049,79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+523 283,61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9 283 333,40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17 739 209,94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+203 787,38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17 942 997,32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dochodów bieżących i majątkowych. Zmiany przedstawiono w tabelach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dochodach bieżących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21 801 410,00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+1 000 000,00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22 801 410,00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22 271 055,00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+600 000,00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22 871 055,00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22 894 645,00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22 894 645,00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23 535 695,00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-50 000,00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23 485 695,00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dochodach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9 217 679,00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+1 000 000,00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10 217 679,00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wydatków majątkowych. Zmiany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11 267 085,00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+1 900 000,00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13 167 085,00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2 242 630,00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+500 000,00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2 742 630,00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2 309 762,00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-300 000,00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2 009 762,00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3 090 473,00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3 090 473,00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3 191 460,00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3 191 460,00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3 395 216,00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-50 000,00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3 345 216,00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 p</w:t>
      </w:r>
      <w:r>
        <w:rPr>
          <w:color w:val="000000"/>
          <w:szCs w:val="20"/>
          <w:u w:color="000000"/>
        </w:rPr>
        <w:t>rzychody ogółem w roku budżetowym nie uległy zmianie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 r</w:t>
      </w:r>
      <w:r>
        <w:rPr>
          <w:color w:val="000000"/>
          <w:szCs w:val="20"/>
          <w:u w:color="000000"/>
        </w:rPr>
        <w:t>ozchody ogółem w roku budżetowym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2026</w:t>
      </w:r>
      <w:r>
        <w:rPr>
          <w:color w:val="000000"/>
          <w:szCs w:val="20"/>
          <w:u w:color="000000"/>
        </w:rPr>
        <w:t xml:space="preserve"> roku</w:t>
      </w:r>
      <w:r>
        <w:rPr>
          <w:color w:val="000000"/>
          <w:szCs w:val="20"/>
          <w:u w:color="000000"/>
        </w:rPr>
        <w:t> nie dokonywano zmian w 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2026 </w:t>
      </w:r>
      <w:r>
        <w:rPr>
          <w:color w:val="000000"/>
          <w:szCs w:val="20"/>
          <w:u w:color="000000"/>
        </w:rPr>
        <w:t xml:space="preserve">roku </w:t>
      </w:r>
      <w:r>
        <w:rPr>
          <w:color w:val="000000"/>
          <w:szCs w:val="20"/>
          <w:u w:color="000000"/>
        </w:rPr>
        <w:t>dokonano zmian w zakresie planowanych rozchodów. Zmiany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rozchodach zwrotnych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+300 000,00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-50 000,00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+50 000,00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750 000,00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50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Zobowiązanie historyczne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750 000,00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2025-2031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81"/>
        <w:gridCol w:w="1680"/>
        <w:gridCol w:w="1680"/>
        <w:gridCol w:w="1680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Maksymalna obsługa zadłużenia (wg wykonania)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Zachowanie relacji z art. 243 (w oparciu o wykonanie)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3,96%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7,24%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3,99%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6,14%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7,65%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6,25%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7,64%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9,68%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8,29%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8,19%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10,96%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9,56%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3,11%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12,10%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10,70%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3,10%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12,34%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10,95%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3,35%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13,76%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12,36%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w tabeli powyżej wskazują, że w całym okresie prognozy Gmina Gręboszów spełnia relację, o której mowa w art. 243 ust. 1 ustawy o finansach publicznych. Spełnienie dotyczy zarówno relacji obliczonej na podstawie planu na dzień 30.09.2024 r. jak i w oparciu o dane z wykonania budżetu.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Wieloletniej Prognozy Finansowej Gminy Gręboszów obejmuje również zmiany w załączniku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 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załącznika przedsięwzięć dodano następujące przedsięwzięcia: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 r</w:t>
      </w:r>
      <w:r>
        <w:rPr>
          <w:color w:val="000000"/>
          <w:szCs w:val="20"/>
          <w:u w:color="000000"/>
        </w:rPr>
        <w:t>ozbudowa, przebudowa i doposażenie Punktu Selektywnej Zbiórki Odpadów Komunalnych w Gręboszowie – zadanie bieżące, które ma być realizowane w latach 2025-2027. Łączne nakłady planowane na realizację zadania wynoszą 100 000,00 zł, w tym w 2025 r. ‒ 0,00 zł. Limit zobowiązań dla zadania wynosi 100 000,00 zł. Jednostką realizującą jest Urząd Gminy Gręboszów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 p</w:t>
      </w:r>
      <w:r>
        <w:rPr>
          <w:color w:val="000000"/>
          <w:szCs w:val="20"/>
          <w:u w:color="000000"/>
        </w:rPr>
        <w:t>rojekt związany z zatrudnieniem ekodoradcy – zadanie bieżące, które ma być realizowane w latach 2026-2028. Łączne nakłady planowane na realizację zadania wynoszą 580 000,00 zł. Limit zobowiązań dla zadania wynosi 580 000,00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ozbudowa, przebudowa i doposażenie Punktu Selektywnej Zbiórki Odpadów Komunalnych w Gręboszowie – zadanie majątkowe, które ma być realizowane w latach 2025-2027. Łączne nakłady planowane na realizację zadania wynoszą 1 120 000,00 zł, w tym w 2025 r. ‒ 0,00 zł. Limit zobowiązań dla zadania wynosi 1 120 000,00 zł. Jednostką realizującą jest Urząd Gminy Gręboszów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z</w:t>
      </w:r>
      <w:r>
        <w:rPr>
          <w:color w:val="000000"/>
          <w:szCs w:val="20"/>
          <w:u w:color="000000"/>
        </w:rPr>
        <w:t>agospodarowanie centrum miejscowości Gręboszów – zadanie majątkowe, które ma być realizowane w latach 2026-2027. Łączne nakłady planowane na realizację zadania wynoszą 540 000,00 zł. Limit zobowiązań dla zadania wynosi 540 000,00 zł. Jednostką realizującą jest Urząd Gminy Gręboszów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ozbudowa DW 973 na terenie gminy Gręboszów – zadanie majątkowe, które ma być realizowane w latach 2026-2027. Łączne nakłady planowane na realizację zadania wynoszą 217 000,00 zł. Limit zobowiązań dla zadania wynosi 217 000,00 zł. Jednostką realizującą jest Urząd Gminy Gręboszów.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Zmiany wprowadzone w wykazie wieloletnich przedsięwzięć nie spowodowały zmiany horyzontu czasowego załącznika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10.1.1 i 10.1.2 WPF, co przedstawiono w tabelach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bieżących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2 419 000,00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+340 000,00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2 759 000,00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2 510 000,00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+210 000,00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2 720 000,00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2 572 000,00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+130 000,00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2 702 000,00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7 183 223,80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+1 837 000,00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9 020 223,80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1 562 000,00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+40 000,00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1 602 000,00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Pełen zakres zmian obrazują załączniki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1 i 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9"/>
        <w:gridCol w:w="4927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Gminy Gręboszów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Wiesław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Wytrwał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firstLine="0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firstLine="0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113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C1A6F8E4-1F54-4F2C-9B73-655909117AD0.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C1A6F8E4-1F54-4F2C-9B73-655909117AD0.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C1A6F8E4-1F54-4F2C-9B73-655909117AD0.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C1A6F8E4-1F54-4F2C-9B73-655909117AD0.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XI/78/2025 z dnia 27 maja 2025 r.</dc:title>
  <dc:subject>w sprawie zmiany Wieloletniej Prognozy Finansowej Gminy Gręboszów na lata 2025-2031</dc:subject>
  <dc:creator>marcin.janowiec</dc:creator>
  <cp:lastModifiedBy>marcin.janowiec</cp:lastModifiedBy>
  <cp:revision>1</cp:revision>
  <dcterms:created xsi:type="dcterms:W3CDTF">2025-05-21T14:21:51Z</dcterms:created>
  <dcterms:modified xsi:type="dcterms:W3CDTF">2025-05-21T14:21:51Z</dcterms:modified>
  <cp:category>Akt prawny</cp:category>
</cp:coreProperties>
</file>