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24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XII/97/2025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rozpatrzenia skargi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 oraz art 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Kodeks postępowania administracyjnego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572),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Uznaje się za bezzasadną skargę na działanie Kierownika Gminnego Ośrodka Pomocy Społecznej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przyczyn wskazanych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uzasadnieniu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Zobowiązuje się Przewodniczącego Rady Gminy Gręboszów do poinformowania Skarżącego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załatwienia skargi.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 dniu 5 czerwca 2025 r. do Rady Gminy wpłynęła skarga dotycząca działania Kierownika Gminnego Ośrodka Pomocy Społecznej w Gręboszowie. Komisja Skarg, Wniosków i Petycji na swym posiedzeniu w dniu 23.06.2025 r. zapoznała się z jej treścią i uznała, że z jej treści wynika, iż naruszenia Kierownika GOPS miały nastąpić przy wydawaniu decyzji administracyjnej w indywidualnej sprawie innej osoby (adresatem wskazanej decyzji nie jest Skarżący). Postępowanie, o którym mowa w skardze, dotyczyło osoby trzeciej, która jest jedyną stroną postępowania. Postępowanie administracyjne nie dotyczyło osoby Skarżącego ani jego uprawnień. Zgodnie z art. 28 kodeksu postępowania administracyjnego, stroną postępowania jest tylko ten podmiot, którego interesu prawnego lub obowiązku dana sprawa dotyczy. Skarżący nie jest stroną postępowania, o którym mowa w skardze, w związku z czym nie posiada uprawnień do kwestionowania treści decyzji, jak również oceny następstw wynikających z prowadzonego postępowania. Ponadto, wskazać należy, że skarga nie jest właściwym środkiem prawnym do kwestionowania treści decyzji, ani do ingerowania w toczące się postępowanie administracyjne, które nie zostało jeszcze zakończone decyzją ostateczną.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Wobec powyższegoKomisja Skarg, wniosków i Petycji uznaje skargę za bezzasadną.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49594C5A-D8B1-4B7B-AB10-A29D4EEB6353.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49594C5A-D8B1-4B7B-AB10-A29D4EEB6353.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XII/97/2025 z dnia 24 czerwca 2025 r.</dc:title>
  <dc:subject>w sprawie rozpatrzenia skargi</dc:subject>
  <dc:creator>marcin.janowiec</dc:creator>
  <cp:lastModifiedBy>marcin.janowiec</cp:lastModifiedBy>
  <cp:revision>1</cp:revision>
  <dcterms:created xsi:type="dcterms:W3CDTF">2025-06-24T07:42:36Z</dcterms:created>
  <dcterms:modified xsi:type="dcterms:W3CDTF">2025-06-24T07:42:36Z</dcterms:modified>
  <cp:category>Akt prawny</cp:category>
</cp:coreProperties>
</file>