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XV/116/2025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Wieloletniej Prognozy Finansowej Gminy Gręboszów na lata 2025-2031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VIII/63/2024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Wieloletniej Prognozy Finansowej Gminy Gręboszów na lata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- 2031, dokonuje się następujących zmian: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prognozy kwoty długu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spłaty zobowiązań na lata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2031,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wykazu planowanych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wieloletnich przedsięwzięć,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zmian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 zawiera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Pozostała treść uchwały Nr VIII/63/2024 Rady Gminy Gręboszów, pozostaje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Przewodniczący Rady Gminy Gręboszów</w:t>
            </w:r>
          </w:p>
          <w:p/>
          <w:p>
            <w:pPr>
              <w:jc w:val="center"/>
            </w:pPr>
            <w:r>
              <w:rPr>
                <w:b/>
                <w:sz w:val="20"/>
              </w:rPr>
              <w:t>Wiesław Wytrwał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12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XV/116/2025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64"/>
        <w:gridCol w:w="384"/>
        <w:gridCol w:w="360"/>
        <w:gridCol w:w="360"/>
        <w:gridCol w:w="4838"/>
        <w:gridCol w:w="24"/>
        <w:gridCol w:w="1464"/>
        <w:gridCol w:w="1464"/>
        <w:gridCol w:w="1464"/>
        <w:gridCol w:w="1452"/>
        <w:gridCol w:w="1452"/>
        <w:gridCol w:w="1452"/>
        <w:gridCol w:w="1452"/>
        <w:gridCol w:w="1452"/>
        <w:gridCol w:w="1452"/>
        <w:gridCol w:w="1453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2018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2019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 3 kw. 2024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2026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11 980 391,31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18 358 285,17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17 589 024,02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19 318 398,47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20 737 979,48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35 255 719,60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29 518 559,98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37 562 922,59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32 919 089,00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11 624 804,72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12 492 111,37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13 789 278,34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18 639 744,01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16 711 393,66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17 556 787,07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16 565 609,73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21 406 230,17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22 801 410,00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1 604 458,00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1 375 838,00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1 464 045,00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4 357 548,57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1 474 872,00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1 771 547,00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1 972 624,00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5 329 543,08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6 112 986,00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14 863,07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13 951,76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14 895,66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19 234,07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25 283,00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27 699,00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27 699,00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48 840,46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56 020,00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4 433 247,00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4 754 141,00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5 301 378,00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4 915 370,00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7 348 295,95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6 559 285,00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7 358 208,00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4 681 403,45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5 326 205,00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4 062 464,11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4 215 508,49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4 576 742,04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5 499 858,30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3 140 141,66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2 580 956,44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3 140 205,01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2 331 704,10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1 714 694,00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1 509 772,54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2 132 672,12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2 432 217,64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3 847 733,07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4 722 801,05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6 617 299,63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4 066 873,72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9 014 739,08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9 591 505,00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377 872,70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519 238,18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597 663,76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1 538 415,83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1 578 418,45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1 810 000,00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1 596 807,87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2 960 000,00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3 105 140,00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5 866 173,80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3 799 745,68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678 654,46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4 026 585,82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17 698 932,53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12 952 950,25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16 156 692,42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10 117 679,00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10 462,96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94 975,93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66 624,46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15 753,82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631 724,00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74 300,00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1 067 260,00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117 679,00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5 855 710,84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3 704 769,75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612 030,00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4 010 832,00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17 067 208,53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12 878 650,25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15 089 432,42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11 615 565,13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15 690 075,78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15 759 738,52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18 682 096,94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26 870 299,99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40 057 719,40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34 000 140,74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37 483 341,62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31 919 089,00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11 228 642,71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11 845 185,33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13 324 492,44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17 144 187,75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16 187 562,07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17 847 450,30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17 797 237,95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20 062 090,07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18 852 004,00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4 518 204,35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4 666 945,13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5 214 421,61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5 911 192,69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6 858 904,84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8 598 036,47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8 306 351,65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9 828 326,81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10 321 702,00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28 527,47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26 851,36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39 867,67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72 890,87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32 167,10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311 000,00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432 036,19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472 100,00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 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10 682 737,92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22 210 269,10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16 202 902,79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17 421 251,55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13 067 085,00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7 682 737,92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22 210 269,10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16 202 902,79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17 421 251,55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13 067 085,00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40 802,79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185 425,62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524 016,36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4 546,60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102 006,30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417 730,35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1 017 882,35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1 846 600,00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2 668 209,39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1 829 285,50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-6 132 320,51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-4 801 999,80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-4 481 580,76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79 580,97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79 580,97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378 458,71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932 424,89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3 550 634,28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5 160 219,78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9 934 320,31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5 498 529,80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5 498 529,80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6 320 419,03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1 198 000,20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3 062 721,95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3 296 025,93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236 774,07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78 458,71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50 412,33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1 864 193,85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83 644,96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2 325 608,87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2 005 189,84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487 500,00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219 700,00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530 410,00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696 530,00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696 530,00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1 044 401,00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1 262 201,00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396 162,01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646 926,04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464 785,90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1 495 556,26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523 831,59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-290 663,23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-1 231 628,22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1 344 140,10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3 949 406,00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474 620,72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797 449,93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3 577 920,18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6 655 776,04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5 458 151,90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3 111 336,57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2 170 371,58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1 664 559,13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3 949 406,00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4,57%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5,94%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4,39%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-5,37%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9,54%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21,22%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 art. 243 ustawy, po uwzględnieniu ustawowych wyłączeń, obliczony w oparciu o plan 3 kwartału roku poprzedzającego pierwszy rok prognozy (wskaźnik ustalony w oparciu o 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7,24%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7,42%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 art. 243 ustawy, po uwzględnieniu ustawowych wyłączeń, obliczony w oparciu o wykonanie roku poprzedzającego pierwszy rok prognozy (wskaźnik ustalony w 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3,99%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6,03%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 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NIE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94 108,79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34 834,58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2 301 199,54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1 038 476,20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 których mowa w art. 5 ust. 1 pkt 2 ustawy,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2 301 199,54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1 038 476,20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141 054,84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142 116,76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1 702 262,46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1 976 637,63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773 999,08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3 772,00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2 861,64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 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3 772,00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2 861,64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272 000,00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29 527,11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97 642,03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23 249,78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32 859,98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43 008,08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1 549 662,62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358 595,43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4 640 000,00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 których mowa w art. 5 ust. 1 pkt 2 ustawy,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1 549 662,62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358 595,43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4 640 000,00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16 281,75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147 785,49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211 627,20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557 146,63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1 007 196,45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1 126 251,57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290 795,29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2 040 124,00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4 230 451,57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13 058 384,65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14 797 938,00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14 797 938,00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17 016 000,00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9 644 000,00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1 620 124,00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1 687 051,57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2 337 000,00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2 061 938,00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2 061 938,00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2 178 000,00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2 759 000,00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2 543 400,00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10 721 384,65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12 736 000,00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12 736 000,00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14 838 000,00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6 885 000,00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 dyskontem, odpowiednio emitowanych lub zaciągniętych do równowartości kwoty ubytku w 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6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172"/>
        <w:gridCol w:w="565"/>
        <w:gridCol w:w="540"/>
        <w:gridCol w:w="540"/>
        <w:gridCol w:w="7236"/>
        <w:gridCol w:w="1"/>
        <w:gridCol w:w="2183"/>
        <w:gridCol w:w="1"/>
        <w:gridCol w:w="2183"/>
        <w:gridCol w:w="1"/>
        <w:gridCol w:w="2183"/>
        <w:gridCol w:w="1"/>
        <w:gridCol w:w="2183"/>
        <w:gridCol w:w="1"/>
        <w:gridCol w:w="2197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2027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2028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1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2029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2031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25 271 055,00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23 594 645,00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24 135 695,00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24 774 087,00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25 525 909,00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22 871 055,00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22 894 645,00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23 485 695,00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24 124 087,00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24 727 189,00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6 302 489,00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6 478 959,00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6 660 370,00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6 826 879,00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6 997 551,00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57 757,00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59 374,00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61 036,00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62 562,00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64 126,00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5 491 317,00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5 445 074,00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5 803 136,00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5 948 214,00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6 096 919,00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i środków przeznaczonych na cele bieżące</w:t>
            </w:r>
            <w:r>
              <w:rPr>
                <w:sz w:val="14"/>
                <w:vertAlign w:val="superscript"/>
              </w:rPr>
              <w:t>X3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1 767 850,00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1 800 350,00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1 868 236,00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1 914 942,00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1 962 816,00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dochody bieżące</w:t>
            </w:r>
            <w:r>
              <w:rPr>
                <w:sz w:val="14"/>
                <w:vertAlign w:val="superscript"/>
              </w:rPr>
              <w:t>4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9 251 642,00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9 110 888,00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9 092 917,00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9 371 490,00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9 605 777,00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3 198 299,00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3 385 051,00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3 274 232,00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3 356 088,00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3 439 990,00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24 271 055,00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22 594 645,00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23 135 695,00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23 774 087,00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24 525 909,00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19 428 425,00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19 984 883,00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20 445 222,00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20 932 627,00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21 430 693,00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10 768 116,00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11 196 149,00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11 495 646,00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11 794 533,00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12 092 345,00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208 000,00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38 000,00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4 842 630,00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2 609 762,00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2 690 473,00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2 841 460,00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3 095 216,00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4 842 630,00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2 609 762,00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2 690 473,00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2 841 460,00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3 095 216,00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prognozowanej nadwyżki budżetu przeznaczana na spłatę kredytów, pożyczek i wykup papierów wartościowych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Nadwyżka budżetowa z lat ubiegłych</w:t>
            </w:r>
            <w:r>
              <w:rPr>
                <w:sz w:val="14"/>
                <w:vertAlign w:val="superscript"/>
              </w:rPr>
              <w:t>X6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przychody niezwiązane z zaciągnięciem długu</w:t>
            </w:r>
            <w:r>
              <w:rPr>
                <w:sz w:val="14"/>
                <w:vertAlign w:val="superscript"/>
              </w:rPr>
              <w:t>X7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3 442 630,00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2 909 762,00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3 040 473,00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3 296 496,00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bieżącymi, skorygowanymi o środki</w:t>
            </w:r>
            <w:r>
              <w:rPr>
                <w:sz w:val="14"/>
                <w:vertAlign w:val="superscript"/>
              </w:rPr>
              <w:t>8</w:t>
            </w:r>
            <w:r>
              <w:rPr>
                <w:sz w:val="14"/>
              </w:rPr>
              <w:t xml:space="preserve">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3 442 630,00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2 909 762,00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3 040 473,00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3 296 496,00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5,72%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5,31%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4,95%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4,67%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4,45%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17,30%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14,36%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14,39%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14,54%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14,53%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9,61%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10,89%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12,02%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12,26%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13,68%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 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8,22%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9,49%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10,63%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10,87%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12,28%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 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2 830 000,00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2 830 000,00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2 520 000,00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7 122 000,00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4 202 000,00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4 644 000,00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2 746 000,00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2 720 000,00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2 702 000,00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2 644 000,00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2 746 000,00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4 402 000,00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2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9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podlegające ustawowemu wyłączeniu z limitu spłaty zobowiązań</w:t>
            </w:r>
            <w:r>
              <w:rPr>
                <w:sz w:val="14"/>
                <w:vertAlign w:val="superscript"/>
              </w:rPr>
              <w:t>9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 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12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XV/116/2025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2437"/>
        <w:gridCol w:w="1848"/>
        <w:gridCol w:w="661"/>
        <w:gridCol w:w="660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8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2028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2029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2030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2031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48 377 000,00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17 016 000,00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7 122 000,00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4 202 000,00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48 377 000,00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18 609 000,00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2 178 000,00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2 759 000,00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2 702 000,00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18 609 000,00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29 768 000,00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14 838 000,00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6 885 000,00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4 402 000,00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29 768 000,00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8 400 000,00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4 980 000,00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8 400 000,00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Rozbudowa, przebudowa i doposażenie Punktu Selektywnej Zbiórki Odpadów Komunalnych w Gręboszowie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Wdrażanie Programu ochrony powietrza w Gminie Gręboszów - Projekt związany z zatrudnieniem ekodoradcy,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580 000,00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7 720 000,00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7 720 000,00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Realizacja zadania "Cyberbezpieczny samorząd" - Podniesienie poziomu cyberbezpieczeństwa jednostek gminnych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Rozbudowa, przebudowa i doposażenie Punktu Selektywnej Zbiórki Odpadów Komunalnych w Gręboszowie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1 120 000,00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1.1.2.3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Zagospodarowanie centrum miejscowości Gręboszów - Stworzenie warunków do wzmocnienia integracji społecznej mieszkańców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1.1.2.4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Działania inwestycyjne w zakresie budowy infrastruktury Klastra Energii Energetyczne Powiśle - Odnawialne Źródła Energii - Budowa instalacji fotowoltaicznych oraz zakup i montaż magazynów energii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5 800 000,00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2 800 000,00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5 800 000,00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 pkt 1.1 i 1.2), z tego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39 977 000,00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16 766 000,00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4 664 000,00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4 082 000,00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39 977 000,00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2 178 000,00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2 419 000,00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Licencje i programy komputerowe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910 000,00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Finansowanie utrzymania mieszkańców gminy w Domach Pomocy Społecznej - Finansowanie pobytu mieszkańców z terenu Gminy Gręboszów w DPS-ach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Gminny Ośrodek Pomocy Społecznej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1.3.1.3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Obsługa bankowa budżetu Gminy Gręboszów na podstawie art. 264 uofp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159 000,00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1.3.1.4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Oświetlenie placów ulic i dróg: dostawa energii do budynków i budowli stanowiących mienie gminne - Realizacja zadań własnych jst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2 680 000,00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1.3.1.5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Wywóz odpadów komunalnych z terenu Gminy Gręboszów - Wywóż śmieci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1.3.1.6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Zimowe utrzymanie dróg publicznych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3 170 000,00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3 170 000,00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22 048 000,00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14 588 000,00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2 245 000,00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22 048 000,00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budynku szatni sportowej z zapleczem sanitarnym przy boisku w miejscowości Ujście Jezuickie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1 157 000,00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publicznego przedszkola ze żłobkiem wraz z instalacjami infrastruktury technicznej w miejscowości Gręboszów - Budowa przedszkola publicznego wraz ze żłobkiem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9 231 000,00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9 231 000,00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9 231 000,00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1.3.2.3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Zagospodarowanie terenu przy publicznym przedszkolu ze żłobkiem w miejscowości Gręboszów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1.3.2.4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Przebudowa kanału Hubenickiego na terenie Gminy Gręboszów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7 200 000,00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1 200 000,00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7 200 000,00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1.3.2.5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Zakup średniego samochodu ratowniczo-gaśniczego w ramach projektu „Bezpieczna Małopolska - Bon na ratowanie - Straż pożarna”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1 038 000,00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1 100 000,00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1.3.2.6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Rozbudowa DW 973 na terenie gminy Gręboszów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217 000,00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szCs w:val="20"/>
        </w:rPr>
      </w:pPr>
      <w:r>
        <w:rPr>
          <w:szCs w:val="20"/>
        </w:rPr>
        <w:t xml:space="preserve">Załącznik nr </w:t>
      </w:r>
      <w:r>
        <w:rPr>
          <w:szCs w:val="20"/>
        </w:rPr>
        <w:t>3</w:t>
      </w:r>
      <w:r>
        <w:rPr>
          <w:szCs w:val="20"/>
        </w:rPr>
        <w:t> do uchwały nr XV/116/2025</w:t>
        <w:br/>
        <w:t>Rady Gminy Gręboszów</w:t>
        <w:br/>
        <w:t>z dnia 11 września 2025 r.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szCs w:val="20"/>
        </w:rPr>
      </w:pP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48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Objaśnienia przyjętych wartości do Wieloletniej Prognozy Finansowej Gminy Gręboszów na lata 2025-2031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ze zmianami w budżecie na dzień 11 września 2025 r., dokonano następujących zmian w 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1</w:t>
      </w:r>
      <w:r>
        <w:rPr>
          <w:szCs w:val="20"/>
        </w:rPr>
        <w:t>)</w:t>
      </w:r>
      <w:r>
        <w:rPr>
          <w:szCs w:val="20"/>
        </w:rPr>
        <w:t> </w:t>
      </w:r>
      <w:r>
        <w:rPr>
          <w:szCs w:val="20"/>
        </w:rPr>
        <w:t>d</w:t>
      </w:r>
      <w:r>
        <w:rPr>
          <w:szCs w:val="20"/>
        </w:rPr>
        <w:t>ochody ogółem zwiększono o 211 680,27 zł, z czego dochody bieżące zwiększono o 314 270,27 zł, a dochody majątkowe zmniejszono o 102 590,00 zł</w:t>
      </w:r>
      <w:r>
        <w:rPr>
          <w:szCs w:val="2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2</w:t>
      </w:r>
      <w:r>
        <w:rPr>
          <w:szCs w:val="20"/>
        </w:rPr>
        <w:t>)</w:t>
      </w:r>
      <w:r>
        <w:rPr>
          <w:szCs w:val="20"/>
        </w:rPr>
        <w:t> </w:t>
      </w:r>
      <w:r>
        <w:rPr>
          <w:szCs w:val="20"/>
        </w:rPr>
        <w:t>w</w:t>
      </w:r>
      <w:r>
        <w:rPr>
          <w:szCs w:val="20"/>
        </w:rPr>
        <w:t>ydatki ogółem zwiększono o 211 680,27 zł, z czego wydatki bieżące zwiększono o 733 426,04 zł, a wydatki majątkowe zmniejszono o 521 745,77 zł</w:t>
      </w:r>
      <w:r>
        <w:rPr>
          <w:szCs w:val="2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3</w:t>
      </w:r>
      <w:r>
        <w:rPr>
          <w:szCs w:val="20"/>
        </w:rPr>
        <w:t>)</w:t>
      </w:r>
      <w:r>
        <w:rPr>
          <w:szCs w:val="20"/>
        </w:rPr>
        <w:t> </w:t>
      </w:r>
      <w:r>
        <w:rPr>
          <w:szCs w:val="20"/>
        </w:rPr>
        <w:t>w</w:t>
      </w:r>
      <w:r>
        <w:rPr>
          <w:szCs w:val="20"/>
        </w:rPr>
        <w:t>ynik budżetu nie uległ zmianie.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szCs w:val="20"/>
        </w:rPr>
        <w:t>Zmiany w dochodach i wydatkach w 2025 roku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ogółem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37 351 242,32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+211 680,27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37 562 922,59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21 091 959,90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+314 270,27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21 406 230,17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Dotacje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2 025 086,25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+306 617,85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2 331 704,10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Pozostałe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9 007 086,66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+7 652,42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9 014 739,08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majątkowe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16 259 282,42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-102 590,00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16 156 692,42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ogółem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37 271 661,35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+211 680,27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37 483 341,62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19 328 664,03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+733 426,04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20 062 090,07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Wynagrodzenia i pochodne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9 690 330,63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+137 996,18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9 828 326,81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Obsługa długu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355 000,00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+117 100,00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472 100,00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Pozostałe wydatki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9 283 333,40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+478 329,86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9 761 663,26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majątkowe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17 942 997,32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-521 745,77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17 421 251,55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okresie prognozy WPF dokonano zmian w zakresie planowanych dochodów majątkowych. Zmiany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dochodach majątkowych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10 217 679,00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-100 000,00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10 117 679,00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+1 700 000,00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2 400 000,00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wydatkach majątkowych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13 167 085,00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-100 000,00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13 067 085,00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2 742 630,00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+2 100 000,00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4 842 630,00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2 009 762,00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+600 000,00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2 609 762,00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3 090 473,00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-400 000,00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2 690 473,00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3 191 460,00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-350 000,00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2 841 460,00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3 345 216,00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-250 000,00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3 095 216,00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Dodatkowo, w okresie prognozy WPF dokonano aktualizacji wydatków na obsługę długu, co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wydatkach na obsługę długu w okresie prognozy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295 425,00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-42 425,00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253 000,00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211 325,00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-3 325,00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208 000,00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128 525,00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-8 525,00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72 862,00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-1 862,00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71 000,00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39 462,00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-1 462,00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38 000,00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12 250,00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-250,00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>p</w:t>
      </w:r>
      <w:r>
        <w:rPr>
          <w:color w:val="000000"/>
          <w:szCs w:val="20"/>
          <w:u w:color="000000"/>
        </w:rPr>
        <w:t>rzychody ogółem w roku budżetowym zwiększono o 6 000 000,00 zł, w tym przychody z tytułu kredytów, pożyczek lub emisji papierów wartościowych zwiększono o 6 000 000,00 zł</w:t>
      </w:r>
      <w:r>
        <w:rPr>
          <w:color w:val="000000"/>
          <w:szCs w:val="20"/>
          <w:u w:color="000000"/>
        </w:rPr>
        <w:t>;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s</w:t>
      </w:r>
      <w:r>
        <w:rPr>
          <w:color w:val="000000"/>
          <w:szCs w:val="20"/>
          <w:u w:color="000000"/>
        </w:rPr>
        <w:t>ą to przychody jednostek samorządu terytorialnego z tytułu zaciągniętych pożyczek i kredytów oraz wyemitowanych papierów wartościowych na spłatę wcześniej zaciągniętych zobowiązań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>r</w:t>
      </w:r>
      <w:r>
        <w:rPr>
          <w:color w:val="000000"/>
          <w:szCs w:val="20"/>
          <w:u w:color="000000"/>
        </w:rPr>
        <w:t>ozchody ogółem w roku budżetowym zwiększono o 6 000 000,00 zł, w tym z tytułu spłaty rat kapitałowych kredytów i pożyczek oraz wykupu papierów wartościowych zwiększono o 6 000 000,00 zł - wcześniejsza spłata zaciągniętego długu, zaś inne rozchody, niezwiązane ze spłatą długu, nie uległy zmianie.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przychodach i rozchodach na 2025 rok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Przychody budżetu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320 419,03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+6 000 000,00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6 320 419,03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+6 000 000,00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6 000 000,00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Rozchody budżetu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400 000,00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+6 000 000,00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6 400 000,00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Spłata rat kapitałowych i wykup obligacji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+6 000 000,00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6 400 000,00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2026</w:t>
      </w:r>
      <w:r>
        <w:rPr>
          <w:color w:val="000000"/>
          <w:szCs w:val="20"/>
          <w:u w:color="000000"/>
        </w:rPr>
        <w:t xml:space="preserve"> r.</w:t>
      </w:r>
      <w:r>
        <w:rPr>
          <w:color w:val="000000"/>
          <w:szCs w:val="20"/>
          <w:u w:color="000000"/>
        </w:rPr>
        <w:t> nie dokonywano zmian w zakresie planowanych przychodów.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2026</w:t>
      </w:r>
      <w:r>
        <w:rPr>
          <w:color w:val="000000"/>
          <w:szCs w:val="20"/>
          <w:u w:color="000000"/>
        </w:rPr>
        <w:t xml:space="preserve"> r.</w:t>
      </w:r>
      <w:r>
        <w:rPr>
          <w:color w:val="000000"/>
          <w:szCs w:val="20"/>
          <w:u w:color="000000"/>
        </w:rPr>
        <w:t> dokonano zmian w zakresie planowanych rozchodów. Zmiany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rozchodach zwrotnych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1 400 000,00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-400 000,00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1 600 000,00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-600 000,00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+400 000,00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+350 000,00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roku budżetowym zaplanowano środki zwrotne w wysokości 6 000 000,00 zł. Spłatę planowanego do zaciągnięcia zobowiązania ujęto w latach 2025-2031. W tabeli poniżej przedstawiono szczegółowy harmonogram spłaty zobowiązania planowanego do zaciągnięcia w okresie prognozy.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zakresie zawartych umów, rozchody Gminy Gręboszów zaplanowano zgodnie z harmonogramami. W tabeli poniżej spłatę ww. zobowiązań przedstawiono w kolumnie „Zobowiązanie historyczne”.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Spłatę zobowiązania planowanego do zaciągnięcia ujęto w latach 2025-2031. W tabeli poniżej spłatę ww. zobowiązań przedstawiono w kolumnie „Zobowiązanie planowane”.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 w:type="page"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Spłata zaciągniętych i planowanych zobowiązań Gminy Gręboszów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Zobowiązanie historyczne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Zobowiązanie planowane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Zobowiązania razem [zł]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6 000 000,00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6 400 000,00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1 400 000,00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-400 000,00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1 600 000,00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-600 000,00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 Wieloletniej Prognozie Finansowej Gminy Gręboszów na lata 2025-2031 spowodowały modyfikacje w kształtowaniu się relacji z art. 243 ustawy o finansach publicznych. Szczegóły zaprezentowano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Kształtowanie się relacji z art. 243 ust. 1 ustawy o finansach publicznych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81"/>
        <w:gridCol w:w="1681"/>
        <w:gridCol w:w="1680"/>
        <w:gridCol w:w="1680"/>
        <w:gridCol w:w="1680"/>
        <w:gridCol w:w="1680"/>
      </w:tblGrid>
      <w:tr>
        <w:tblPrEx>
          <w:tblW w:w="5000" w:type="pct"/>
          <w:tblLayout w:type="fixed"/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Zachowanie relacji z art. 243 (w oparciu o wykonanie)</w:t>
            </w:r>
          </w:p>
        </w:tc>
      </w:tr>
      <w:tr>
        <w:tblPrEx>
          <w:tblW w:w="5000" w:type="pct"/>
          <w:tblLayout w:type="fixed"/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4,57%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7,24%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3,99%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>
        <w:tblPrEx>
          <w:tblW w:w="5000" w:type="pct"/>
          <w:tblLayout w:type="fixed"/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5,94%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7,42%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6,03%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5,72%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9,61%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8,22%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5,31%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10,89%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9,49%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4,95%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12,02%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10,63%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4,67%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12,26%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10,87%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4,45%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13,68%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12,28%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Dane zawarte w tabeli wskazują, że w roku 2025 Gmina Gręboszów nie spełnia relacji z art. 243 ust. 1 ustawy o finansach publicznych po wykonaniu roku poprzedzającego. Wskazać przy tym należy, że relacja planowanej kwoty długu na koniec roku do dochodów ogółem pomniejszonych o dotacje i środki o podobnym charakterze oraz powiększonych o przychody z tytułów określonych w art. 217 ust. 2 pkt 4-8 ustawy o finansach publicznych, nieprzeznaczone na sfinansowanie deficytu budżetowego, wynosi: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</w:t>
      </w:r>
      <w:r>
        <w:rPr>
          <w:color w:val="000000"/>
          <w:szCs w:val="20"/>
          <w:u w:color="000000"/>
        </w:rPr>
        <w:t xml:space="preserve">w </w:t>
      </w:r>
      <w:r>
        <w:rPr>
          <w:color w:val="000000"/>
          <w:szCs w:val="20"/>
          <w:u w:color="000000"/>
        </w:rPr>
        <w:t>2025 roku wyniesie 29,32%;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</w:t>
      </w:r>
      <w:r>
        <w:rPr>
          <w:color w:val="000000"/>
          <w:szCs w:val="20"/>
          <w:u w:color="000000"/>
        </w:rPr>
        <w:t xml:space="preserve">w </w:t>
      </w:r>
      <w:r>
        <w:rPr>
          <w:color w:val="000000"/>
          <w:szCs w:val="20"/>
          <w:u w:color="000000"/>
        </w:rPr>
        <w:t>2026 roku wyniesie 23,58%;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</w:t>
      </w:r>
      <w:r>
        <w:rPr>
          <w:color w:val="000000"/>
          <w:szCs w:val="20"/>
          <w:u w:color="000000"/>
        </w:rPr>
        <w:t xml:space="preserve"> w </w:t>
      </w:r>
      <w:r>
        <w:rPr>
          <w:color w:val="000000"/>
          <w:szCs w:val="20"/>
          <w:u w:color="000000"/>
        </w:rPr>
        <w:t>2027 roku wyniesie 18,95%;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</w:t>
      </w:r>
      <w:r>
        <w:rPr>
          <w:color w:val="000000"/>
          <w:szCs w:val="20"/>
          <w:u w:color="000000"/>
        </w:rPr>
        <w:t xml:space="preserve">w </w:t>
      </w:r>
      <w:r>
        <w:rPr>
          <w:color w:val="000000"/>
          <w:szCs w:val="20"/>
          <w:u w:color="000000"/>
        </w:rPr>
        <w:t>2028 roku wyniesie 14,22%;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</w:t>
      </w:r>
      <w:r>
        <w:rPr>
          <w:color w:val="000000"/>
          <w:szCs w:val="20"/>
          <w:u w:color="000000"/>
        </w:rPr>
        <w:t xml:space="preserve">w </w:t>
      </w:r>
      <w:r>
        <w:rPr>
          <w:color w:val="000000"/>
          <w:szCs w:val="20"/>
          <w:u w:color="000000"/>
        </w:rPr>
        <w:t>2029 roku wyniesie 9,25%.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7 ust. 1 ustawy z dnia 15 września 2022 r. o zmianie ustawy o dochodach JST oraz niektórych innych ustaw, relacja ograniczająca wysokość spłaty zobowiązań jednostki samorządu terytorialnego, o której mowa w art. 243 ust. 1 ustawy o finansach publicznych, może być niezachowana w latach 2022-2029 w przypadku, gdy prognozowana łączna kwota długu jednostki samorządu terytorialnego na koniec danego roku nie przekroczy 100% planowanych dochodów ogółem pomniejszonych o dotacje i środki o podobnym charakterze oraz powiększonych o przychody z tytułów określonych w art. 217 ust. 2 pkt 4-8 ustawy o finansach publicznych. W związku z powyższym niespełnienie relacji z art. 243 ust. 1 ustawy w roku 2025 jest dopuszczalne.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Zmiana Wieloletniej Prognozy Finansowej Gminy Gręboszów obejmuje również zmiany w załączniku nr 2, które szczegółowo opisano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 załącznika przedsięwzięć dodano następujące przedsięwzięcia: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>d</w:t>
      </w:r>
      <w:r>
        <w:rPr>
          <w:color w:val="000000"/>
          <w:szCs w:val="20"/>
          <w:u w:color="000000"/>
        </w:rPr>
        <w:t>ziałania inwestycyjne w zakresie budowy infrastruktury Klastra Energii Energetyczne Powiśle - Odnawialne Źródła Energii – zadanie majątkowe, które ma być realizowane w latach 2025-2027. Łączne nakłady planowane na realizację zadania wynoszą 5 800 000,00 zł, w tym w 2025 r. ‒ 0,00 zł. Limit zobowiązań dla zadania wynosi 5 800 000,00 zł. Jednostką realizującą jest Urząd Gminy Gręboszów.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Dokonano zmian w zakresie następujących przedsięwzięć: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1. </w:t>
      </w:r>
      <w:r>
        <w:rPr>
          <w:color w:val="000000"/>
          <w:szCs w:val="20"/>
          <w:u w:color="000000"/>
        </w:rPr>
        <w:t>W zakresie programów, projektów lub zadań związanych z programami realizowanymi z udziałem środków z UE: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</w:t>
      </w:r>
      <w:r>
        <w:rPr>
          <w:color w:val="000000"/>
          <w:szCs w:val="20"/>
          <w:u w:color="000000"/>
        </w:rPr>
        <w:t>r</w:t>
      </w:r>
      <w:r>
        <w:rPr>
          <w:color w:val="000000"/>
          <w:szCs w:val="20"/>
          <w:u w:color="000000"/>
        </w:rPr>
        <w:t>ealizacja zadania „Cyberbezpieczny samorząd</w:t>
      </w:r>
      <w:r>
        <w:rPr>
          <w:color w:val="000000"/>
          <w:szCs w:val="20"/>
          <w:u w:color="000000"/>
        </w:rPr>
        <w:t>”</w:t>
      </w:r>
      <w:r>
        <w:rPr>
          <w:color w:val="000000"/>
          <w:szCs w:val="20"/>
          <w:u w:color="000000"/>
        </w:rPr>
        <w:t xml:space="preserve">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> zwiększenie łącznych nakładów ogółem oraz limitu zobowiązań na realizację zadania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o kwotę 10 000,00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> zwiększenie limitu wydatków na realizację zadania w roku budżetowym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o kwotę 72 223,80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> zmniejszenie limitu wydatków na realizację zadania w roku 2026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> o kwotę 62 223,80 zł</w:t>
      </w:r>
      <w:r>
        <w:rPr>
          <w:color w:val="000000"/>
          <w:szCs w:val="20"/>
          <w:u w:color="00000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2.W zakresie programów, projektów lub zadań innych (finansowanych ze środków krajowych):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</w:t>
      </w:r>
      <w:r>
        <w:rPr>
          <w:color w:val="000000"/>
          <w:szCs w:val="20"/>
          <w:u w:color="000000"/>
        </w:rPr>
        <w:t>b</w:t>
      </w:r>
      <w:r>
        <w:rPr>
          <w:color w:val="000000"/>
          <w:szCs w:val="20"/>
          <w:u w:color="000000"/>
        </w:rPr>
        <w:t>udowa budynku szatni sportowej z zapleczem sanitarnym przy boisku w miejscowości Ujście Jezuickie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</w:t>
      </w:r>
      <w:r>
        <w:rPr>
          <w:color w:val="000000"/>
          <w:szCs w:val="20"/>
          <w:u w:color="000000"/>
        </w:rPr>
        <w:t>. zmniejszenie limitu wydatków na realizację zadania w roku 2026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> o kwotę 143 000,00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</w:t>
      </w:r>
      <w:r>
        <w:rPr>
          <w:color w:val="000000"/>
          <w:szCs w:val="20"/>
          <w:u w:color="000000"/>
        </w:rPr>
        <w:t>b</w:t>
      </w:r>
      <w:r>
        <w:rPr>
          <w:color w:val="000000"/>
          <w:szCs w:val="20"/>
          <w:u w:color="000000"/>
        </w:rPr>
        <w:t>udowa publicznego przedszkola ze żłobkiem wraz z instalacjami infrastruktury technicznej w miejscowości Gręboszów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</w:t>
      </w:r>
      <w:r>
        <w:rPr>
          <w:color w:val="000000"/>
          <w:szCs w:val="20"/>
          <w:u w:color="000000"/>
        </w:rPr>
        <w:t>. zmniejszenie łącznych nakładów ogółem oraz limitu zobowiązań na realizację zadania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o kwotę 2 930 000,00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</w:t>
      </w:r>
      <w:r>
        <w:rPr>
          <w:color w:val="000000"/>
          <w:szCs w:val="20"/>
          <w:u w:color="000000"/>
        </w:rPr>
        <w:t>. zmniejszenie limitu wydatków na realizację zadania w roku 2026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> o kwotę 2 930 000,00 zł</w:t>
      </w:r>
      <w:r>
        <w:rPr>
          <w:color w:val="000000"/>
          <w:szCs w:val="20"/>
          <w:u w:color="00000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</w:t>
      </w:r>
      <w:r>
        <w:rPr>
          <w:color w:val="000000"/>
          <w:szCs w:val="20"/>
          <w:u w:color="000000"/>
        </w:rPr>
        <w:t>z</w:t>
      </w:r>
      <w:r>
        <w:rPr>
          <w:color w:val="000000"/>
          <w:szCs w:val="20"/>
          <w:u w:color="000000"/>
        </w:rPr>
        <w:t>agospodarowanie terenu przy publicznym przedszkolu ze żłobkiem w miejscowości Gręboszów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</w:t>
      </w:r>
      <w:r>
        <w:rPr>
          <w:color w:val="000000"/>
          <w:szCs w:val="20"/>
          <w:u w:color="000000"/>
        </w:rPr>
        <w:t>. zmniejszenie łącznych nakładów ogółem oraz limitu zobowiązań na realizację zadania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o kwotę 2 000 000,00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</w:t>
      </w:r>
      <w:r>
        <w:rPr>
          <w:color w:val="000000"/>
          <w:szCs w:val="20"/>
          <w:u w:color="000000"/>
        </w:rPr>
        <w:t>. zmniejszenie limitu wydatków na realizację zadania w roku 2026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> o kwotę 2 000 000,00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wprowadzone w wykazie wieloletnich przedsięwzięć nie spowodowały zmiany horyzontu czasowego załącznika nr 2 WPF.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wprowadzone w wykazie wieloletnich przedsięwzięć wpłynęły na zmianę pozycji 10.1.2 WPF, co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wydatkach majątkowych objętych limitem z art. 226 ust. 3 pkt 4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14 765 776,20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+72 223,80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14 838 000,00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9 020 223,80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-2 135 223,80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6 885 000,00</w:t>
            </w:r>
          </w:p>
        </w:tc>
      </w:tr>
      <w:tr>
        <w:tblPrEx>
          <w:tblW w:w="5000" w:type="pct"/>
          <w:tblLayout w:type="fixed"/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1 602 000,00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+2 800 000,00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4 402 000,00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Pełen zakres zmian obrazują załączniki nr 1 i 2 do niniejszej uchwały.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</w:p>
    <w:tbl>
      <w:tblPr>
        <w:tblStyle w:val="TableSimple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792"/>
        <w:gridCol w:w="4792"/>
      </w:tblGrid>
      <w:tr>
        <w:tblPrEx>
          <w:tblW w:w="5000" w:type="pct"/>
          <w:tblInd w:w="283" w:type="dxa"/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Gminy Gręboszów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Wiesław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Wytrwał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firstLine="0"/>
        <w:contextualSpacing w:val="0"/>
        <w:rPr>
          <w:color w:val="000000"/>
          <w:szCs w:val="20"/>
          <w:u w:color="000000"/>
        </w:rPr>
      </w:pPr>
    </w:p>
    <w:sectPr>
      <w:footerReference w:type="default" r:id="rId8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6B1EFF92-D3C8-466F-A1EA-1574F8C5C7AE.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6B1EFF92-D3C8-466F-A1EA-1574F8C5C7AE.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6B1EFF92-D3C8-466F-A1EA-1574F8C5C7AE.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6B1EFF92-D3C8-466F-A1EA-1574F8C5C7AE.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39, z 2022 r. poz. 1079 i 1180)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  <w:footnote w:id="1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XV/116/2025 z dnia 11 września 2025 r.</dc:title>
  <dc:subject>w sprawie zmiany Wieloletniej Prognozy Finansowej Gminy Gręboszów na lata 2025-2031</dc:subject>
  <dc:creator>marcin.janowiec</dc:creator>
  <cp:lastModifiedBy>marcin.janowiec</cp:lastModifiedBy>
  <cp:revision>1</cp:revision>
  <dcterms:created xsi:type="dcterms:W3CDTF">2025-09-10T10:39:11Z</dcterms:created>
  <dcterms:modified xsi:type="dcterms:W3CDTF">2025-09-10T10:39:11Z</dcterms:modified>
  <cp:category>Akt prawny</cp:category>
</cp:coreProperties>
</file>