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października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XVI/122/2025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października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pokrycia części kosztów gospodarowania odpadami komunalnymi z dochodów własnych niepochodzących z pobranej opłaty za gospodarowanie odpadami komunalnymi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6r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2da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gminach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Postanawia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pokryciu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części kosztów gospodarowania odpadami komunalnymi, stanowiących różnicę pomiędzy dochodami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pobranej opłaty za gospodarowanie odpadami komunalnymi,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kosztami funkcjonowania systemu gospodarowania odpadami komunalnymi,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dochodów własnych niepochodzących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pobranej opłaty za gospodarowanie odpadami komunalnymi.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6r ust. 2da pkt. 1 ustawy z dnia 13 września 1996 r. o utrzymaniu czystości i porządku w gminach (Dz. U. 2025 r. poz. 733) w przypadku gdy środki pozyskane</w:t>
      </w:r>
      <w:r>
        <w:rPr>
          <w:szCs w:val="20"/>
        </w:rPr>
        <w:t xml:space="preserve"> </w:t>
      </w:r>
      <w:r>
        <w:rPr>
          <w:szCs w:val="20"/>
        </w:rPr>
        <w:t>z opłat za gospodarowanie odpadami komunalnymi są niewystarczające na pokrycie kosztów funkcjonowania systemu gospodarowania odpadami komunalnymi, w tym kosztów, o których mowa w ust. 2-2c, Rada Gminy może postanowić, w drodze uchwały, o pokryciu części kosztów gospodarowania odpadami komunalnymi z dochodów własnych niepochodzących z pobranej opłaty za gospodarowanie odpadami komunalnymi.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Podjęcie niniejszej uchwały jest stosowne i celowe, ponieważ planowane do uzyskania w 2025 r. środki z opłat uiszczanych przez właścicieli nieruchomości nie pokryją wydatków związanych z funkcjonowaniem gminnego systemu odbioru odpadów komunalnych.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259A892A-6FD3-4BCA-A358-7E2732EE0E8B.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259A892A-6FD3-4BCA-A358-7E2732EE0E8B.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XVI/122/2025 z dnia 7 października 2025 r.</dc:title>
  <dc:subject>w sprawie pokrycia części kosztów gospodarowania odpadami komunalnymi z^dochodów własnych niepochodzących z^pobranej opłaty za gospodarowanie odpadami komunalnymi</dc:subject>
  <dc:creator>marcin.janowiec</dc:creator>
  <cp:lastModifiedBy>marcin.janowiec</cp:lastModifiedBy>
  <cp:revision>1</cp:revision>
  <dcterms:created xsi:type="dcterms:W3CDTF">2025-10-02T10:36:53Z</dcterms:created>
  <dcterms:modified xsi:type="dcterms:W3CDTF">2025-10-02T10:36:53Z</dcterms:modified>
  <cp:category>Akt prawny</cp:category>
</cp:coreProperties>
</file>