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XXV/165/2026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sprostowania oczywistej omyłki pisarskiej w uchwale Nr XXIV/162/2026 Rady Gminy Gręboszów z dnia 30 marca 2026 r. w sprawie zmiany uchwały budżetowej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1436,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252),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uchwale Nr XXIV/162/2026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zmiany uchwały budżetowej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rok, prostuje się oczywistą pomyłkę we wskazaniu organu podejmującego tę uchwałę,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ten sposób, że wyrazy „Wójta Gminy Gręboszów”, zastępuje się wyrazami „Rady Gminy Gręboszów”.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Rada Gminy Gręboszów podejmując uchwałę, nie sprostowała oczywistej pomyłki wskazania w projekcie, organu podejmującego uchwałę i w uchwale Nr XXIV/162/2026 z dnia 30 marca 2026 r. w sprawie zmiany uchwały budżetowej Gminy Gręboszów na 2026 rok, błędnie wskazano „Wójta Gminy Gręboszów</w:t>
      </w:r>
      <w:r>
        <w:rPr>
          <w:szCs w:val="20"/>
        </w:rPr>
        <w:t>”</w:t>
      </w:r>
      <w:r>
        <w:rPr>
          <w:szCs w:val="20"/>
        </w:rPr>
        <w:t>, zamiast „Radę Gminy Gręboszów</w:t>
      </w:r>
      <w:r>
        <w:rPr>
          <w:szCs w:val="20"/>
        </w:rPr>
        <w:t>”</w:t>
      </w:r>
      <w:r>
        <w:rPr>
          <w:szCs w:val="20"/>
        </w:rPr>
        <w:t>. Błąd ten ma charakter oczywisty, a jego sprostowanie nie prowadzi do merytorycznej zmiany tekstu tego aktu prawnego.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Kwestię prostowania błędów reguluje ustawa z dnia 20 lipca 2000 r. o ogłaszaniu aktów normatywnych i niektórych innych aktów prawnych oraz rozporządzenie Prezesa Rady Ministrów z dnia 20 czerwca 2002 r. w sprawie techniki prawodawczej.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Stąd też podjęcie niniejszej uchwały jest w pełni zasadne.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776849EC-8EC9-4700-B0F6-39485802890E.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776849EC-8EC9-4700-B0F6-39485802890E.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XXV/165/2026 z dnia 30 kwietnia 2026 r.</dc:title>
  <dc:subject>w sprawie sprostowania oczywistej omyłki pisarskiej w^uchwale Nr XXIV/162/2026 Rady Gminy Gręboszów z^dnia 30^marca 2026^r. w^sprawie zmiany uchwały budżetowej Gminy Gręboszów na 2026^rok</dc:subject>
  <dc:creator>marcin.janowiec</dc:creator>
  <cp:lastModifiedBy>marcin.janowiec</cp:lastModifiedBy>
  <cp:revision>1</cp:revision>
  <dcterms:created xsi:type="dcterms:W3CDTF">2026-04-24T09:56:48Z</dcterms:created>
  <dcterms:modified xsi:type="dcterms:W3CDTF">2026-04-24T09:56:48Z</dcterms:modified>
  <cp:category>Akt prawny</cp:category>
</cp:coreProperties>
</file>