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25.4.0 -->
  <w:body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  <w:r>
        <w:rPr>
          <w:rFonts w:ascii="Times New Roman" w:eastAsia="Times New Roman" w:hAnsi="Times New Roman" w:cs="Times New Roman"/>
          <w:b/>
          <w:i/>
          <w:sz w:val="20"/>
          <w:u w:val="thick"/>
        </w:rPr>
        <w:t>Projekt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/>
          <w:i/>
          <w:sz w:val="20"/>
          <w:u w:val="thick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 dnia  16 czerwca 2026 r.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  <w:t>Zatwierdzony przez .........................</w:t>
      </w: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/>
        <w:ind w:left="5669" w:right="0"/>
        <w:jc w:val="left"/>
        <w:rPr>
          <w:rFonts w:ascii="Times New Roman" w:eastAsia="Times New Roman" w:hAnsi="Times New Roman" w:cs="Times New Roman"/>
          <w:b w:val="0"/>
          <w:i w:val="0"/>
          <w:sz w:val="20"/>
          <w:u w:val="none"/>
        </w:rPr>
      </w:pPr>
    </w:p>
    <w:p w:rsidR="00A77B3E">
      <w:pPr>
        <w:spacing w:before="0" w:after="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Uchwała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 xml:space="preserve"> nr XXVIII/177/2026</w:t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br/>
      </w:r>
      <w:r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  <w:t>Rady Gminy Gręboszów</w:t>
      </w:r>
    </w:p>
    <w:p w:rsidR="00A77B3E">
      <w:pPr>
        <w:spacing w:before="280" w:after="280" w:line="240" w:lineRule="auto"/>
        <w:ind w:left="0" w:right="0"/>
        <w:jc w:val="center"/>
        <w:rPr>
          <w:rFonts w:ascii="Times New Roman" w:eastAsia="Times New Roman" w:hAnsi="Times New Roman" w:cs="Times New Roman"/>
          <w:b/>
          <w:i w:val="0"/>
          <w:caps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caps w:val="0"/>
          <w:sz w:val="22"/>
        </w:rPr>
        <w:t>z dnia 26 czerwca 2026 r.</w:t>
      </w:r>
    </w:p>
    <w:p w:rsidR="00A77B3E">
      <w:pPr>
        <w:keepNext/>
        <w:spacing w:before="0" w:after="480" w:line="240" w:lineRule="auto"/>
        <w:ind w:left="0" w:right="0" w:firstLine="0"/>
        <w:jc w:val="center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z w:val="22"/>
          <w:u w:val="none"/>
        </w:rPr>
        <w:t>w sprawie zatwierdzenia rocznego sprawozdania finansowego Gminnego Zakładu Opieki Zdrowotnej w Gręboszowie za rok 2025</w:t>
      </w:r>
    </w:p>
    <w:p w:rsidR="00A77B3E">
      <w:pPr>
        <w:keepNext w:val="0"/>
        <w:keepLines/>
        <w:spacing w:before="120" w:after="120" w:line="240" w:lineRule="auto"/>
        <w:ind w:left="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Na podstawie 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pkt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8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marca 1990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samorządzie gminnym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662)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zw.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art.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53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ustawy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dnia 29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września 1994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rachunkowości (Dz.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U.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 poz.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522, 640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644) uchwala się, co następuje: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1.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Zatwierdza się roczne sprawozdanie finansowe Gminnego Zakładu Opieki Zdrowotnej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Gręboszowie za rok 2025, sporządzone na dzień 31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grudnia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r., stanowiący załącznik, do niniejszej uchwały.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2.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Wykonanie uchwały powierza się Wójtowi Gminy Gręboszów.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  <w:r>
        <w:rPr>
          <w:rFonts w:ascii="Times New Roman" w:eastAsia="Times New Roman" w:hAnsi="Times New Roman" w:cs="Times New Roman"/>
          <w:b/>
          <w:sz w:val="22"/>
        </w:rPr>
        <w:t>§ 3.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Uchwała wchodzi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życie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  <w:t>dniem podjęcia.</w:t>
      </w:r>
    </w:p>
    <w:p w:rsidR="00A77B3E">
      <w:pPr>
        <w:keepNext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sectPr>
          <w:footerReference w:type="default" r:id="rId4"/>
          <w:endnotePr>
            <w:numFmt w:val="decimal"/>
          </w:endnotePr>
          <w:pgSz w:w="11906" w:h="16838"/>
          <w:pgMar w:top="992" w:right="1020" w:bottom="992" w:left="1020" w:header="708" w:footer="708" w:gutter="0"/>
          <w:cols w:space="708"/>
          <w:docGrid w:linePitch="360"/>
        </w:sectPr>
      </w:pPr>
    </w:p>
    <w:p w:rsidR="00A77B3E">
      <w:pPr>
        <w:spacing w:before="120" w:after="120" w:line="360" w:lineRule="auto"/>
        <w:ind w:left="5241" w:right="0" w:firstLine="0"/>
        <w:jc w:val="left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begin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separate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fldChar w:fldCharType="end"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Załącznik do uchwały nr XXVIII/177/2026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Rady Gminy Gręboszów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br/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z dnia 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czerwca 2026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auto"/>
          <w:sz w:val="22"/>
          <w:u w:val="none"/>
          <w:vertAlign w:val="baseline"/>
        </w:rPr>
        <w:t>r.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8" w:type="dxa"/>
          <w:right w:w="108" w:type="dxa"/>
        </w:tblCellMar>
      </w:tblPr>
      <w:tblGrid>
        <w:gridCol w:w="647"/>
        <w:gridCol w:w="6629"/>
        <w:gridCol w:w="324"/>
        <w:gridCol w:w="1067"/>
        <w:gridCol w:w="180"/>
        <w:gridCol w:w="1235"/>
      </w:tblGrid>
      <w:tr>
        <w:tblPrEx>
          <w:tblW w:w="5000" w:type="pct"/>
          <w:tblLayout w:type="fixed"/>
        </w:tblPrEx>
        <w:trPr>
          <w:trHeight w:val="285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Bilans za 2025 rok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2025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AKTYWA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Wartości niematerialne i prawne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Koszty zakończonych prac rozwojowych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Wartość firmy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wartości niematerialne i prawne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Zaliczki na wartości niematerialnych i prawnych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Rzeczowe aktywa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grunty (w tym prawo użytkowania wieczystego gruntu)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budynki, lokale i obiekty inżynierii lądowej i wodnej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urządzenia techniczne i maszyny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20 371,32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34 133,84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transportu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e)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środki trwałe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trwałe w budowie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Zaliczki na środki trwałe w budowie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Należności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Od jednostek powiązanych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Od pozostałych jednostek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Inwestycje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Nieruchomości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Wartości niematerialne i prawne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Długoterminowe aktywa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jednostkach powiązanych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pozostałych jednostkach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inwestycje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Długoterminowe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Aktywa z tytułu odroczonego podatku dochodowego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B.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AKTYWA OBROTOWE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232 897,71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486 544,13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Zapasy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Materiały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Półprodukty i produkty w toku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Produkty gotowe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4.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Towary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5.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Zaliczki na poczet dostaw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Należności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Należności od jednostek powiązanych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 tytułu dostaw i usług, o okresie spłaty :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Należności od pozostałych jednostek 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 tytułu dostaw i usług, o okresie spłaty :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do 12 miesięcy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138 132,61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189 622,63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powyżej 12 miesięcy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92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z tytułu podatków, dotacji, ceł, ubezpieczeń społecznych i zdrowotnych oraz innych świadczeń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dochodzone na drodze sądowej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Inwestycje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Krótkoterminowe aktywa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jednostkach powiązanych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 pozostałych jednostkach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 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środki pieniężne i inne aktywa pieniężne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środki pieniężne w kasie i na rachunkach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91 591,09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290 770,27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inne środki pieniężne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inne aktywa pieniężne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inwestycje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Krótkoterminowe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3 174,01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6 151,23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SUMA AKTYWÓW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253 269,03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520 677,97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TREŚĆ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2024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2025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A.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KAPITAŁ (FUNDUSZ) WŁASNY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92 362,93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309 749,73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Kapitał (fundusz) podstawowy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25 126,05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25 126,05 </w:t>
            </w:r>
          </w:p>
        </w:tc>
      </w:tr>
      <w:tr>
        <w:tblPrEx>
          <w:tblW w:w="5000" w:type="pct"/>
          <w:tblLayout w:type="fixed"/>
        </w:tblPrEx>
        <w:trPr>
          <w:trHeight w:val="46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Należne wpłaty na kapitał podstawowy (wielkość ujemna)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Udziały (akcje) własne (wielkość ujemna)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Kapitał (fundusz) zapasowy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215 154,37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215 154,37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Kapitał (fundusz) z aktualizacji wyceny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Pozostałe kapitały (fundusze) rezerwowe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Zysk (strata) z lat ubiegłych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- 172 754,51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- 147 917,49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VIII.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Zysk (strata) netto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24 837,02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217 386,80 </w:t>
            </w:r>
          </w:p>
        </w:tc>
      </w:tr>
      <w:tr>
        <w:tblPrEx>
          <w:tblW w:w="5000" w:type="pct"/>
          <w:tblLayout w:type="fixed"/>
        </w:tblPrEx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IX.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Odpisy z zysku netto w ciągu roku obrotowego (wielkość ujemna)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507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B.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ZOBOWIĄZANIA I REZERWY NA ZOBOWIĄZANIA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160 906,10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210 928,24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Rezerwy na zobowiązania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Rezerwa z tytułu odroczonego podatku dochodowego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Rezerwa na świadczenia emerytalne i podobne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długoterminowa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krótkoterminowa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Pozostałe rezerwy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Zobowiązania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jednostek powiązanych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pozostałych jednostek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 kredyty i pożyczki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 z tytułu emisji dłużnych papierów wartościowych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 inne zobowiązania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 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III.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Zobowiązania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153 959,11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208 209,21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jednostek powiązanych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Wobec pozostałych jednostek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153 959,11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208 209,21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a) kredyty i pożyczki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b) z tytułu emisji dłużnych papierów wartościowych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c) inne zobowiązania finansowe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d) z tytułu dostaw i usług o okresie wymagalności: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67 784,79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132 971,69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do 12 miesięcy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67 784,79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132 971,69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powyżej 12 miesięcy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e) zaliczki otrzymane na dostawy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34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f) zobowiązania wekslowe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50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g) z tytułu podatków, ceł, ubezpieczeń i innych świadczeń 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46 950,07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42 069,95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h) z tytułu wynagrodzeń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38 947,91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33 057,95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i) inne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276,34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109,62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3.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Fundusze specjalne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IV.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6 946,99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2 719,03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1.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Ujemna wartość firmy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2.</w:t>
            </w: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Inne rozliczenia międzyokresowe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6 946,99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2 719,03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długoterminowe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6 946,99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6"/>
              </w:rPr>
              <w:t xml:space="preserve">2 719,03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- krótkoterminowe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72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SUMA PASYWÓW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253 269,03 </w:t>
            </w: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 xml:space="preserve">520 677,97 </w:t>
            </w:r>
          </w:p>
        </w:tc>
      </w:tr>
      <w:tr>
        <w:tblPrEx>
          <w:tblW w:w="5000" w:type="pct"/>
          <w:tblLayout w:type="fixed"/>
        </w:tblPrEx>
        <w:trPr>
          <w:trHeight w:val="390"/>
        </w:trPr>
        <w:tc>
          <w:tcPr>
            <w:tcW w:w="792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Sporządzono dnia 28.03.2026 r</w:t>
            </w:r>
          </w:p>
        </w:tc>
        <w:tc>
          <w:tcPr>
            <w:tcW w:w="13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2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10513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10513" w:type="dxa"/>
            <w:gridSpan w:val="6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i/>
                <w:sz w:val="20"/>
              </w:rPr>
              <w:t>Rachunek Zysków i Strat </w:t>
            </w:r>
          </w:p>
          <w:p>
            <w:pPr>
              <w:jc w:val="center"/>
            </w:pPr>
            <w:r>
              <w:rPr>
                <w:b/>
                <w:i/>
                <w:sz w:val="20"/>
              </w:rPr>
              <w:t xml:space="preserve"> - wariant porównawczy -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6"/>
              </w:rPr>
              <w:t> ZA OKRES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2024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2025</w:t>
            </w:r>
          </w:p>
        </w:tc>
      </w:tr>
      <w:tr>
        <w:tblPrEx>
          <w:tblW w:w="5000" w:type="pct"/>
          <w:tblLayout w:type="fixed"/>
        </w:tblPrEx>
        <w:trPr>
          <w:trHeight w:val="518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A. </w:t>
            </w:r>
          </w:p>
        </w:tc>
        <w:tc>
          <w:tcPr>
            <w:tcW w:w="6912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Przychody netto ze sprzedaży produktów, towarów i materiałów, w tym: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1 711 434,42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1 900 242,61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- od jednostek powiązanych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Przychody netto ze sprzedaży produktów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1 711 434,42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1 900 242,61 </w:t>
            </w:r>
          </w:p>
        </w:tc>
      </w:tr>
      <w:tr>
        <w:tblPrEx>
          <w:tblW w:w="5000" w:type="pct"/>
          <w:tblLayout w:type="fixed"/>
        </w:tblPrEx>
        <w:trPr>
          <w:trHeight w:val="47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Zmiana stanu produktów (zwiększenie wartość dodatnia, zmniejszenie wartość ujemna)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84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 Koszt wytworzenia produktów na własne potrzeby jednostki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80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Przychody netto ze sprzedaży towarów i materiałów.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B.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Koszty działalności operacyjnej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1 691 340,47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1 687 087,57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Amortyzacja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15 567,80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10 960,48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Zużycie materiałów i energii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93 793,37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96 689,18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Usługi obce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768 908,32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983 573,60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Podatki i opłaty, w tym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4 604,40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3 371,00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podatek akcyzowy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Wynagrodzenia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667 991,68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487 375,20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Ubezpieczenia społeczne i inne świadczenia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133 730,68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95 576,63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Pozostałe koszty rodzajowe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6 744,22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9 541,48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Wartość sprzedanych towarów i materiałów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C.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ze sprzedaży (A-B)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 20 093,95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213 155,04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D.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Pozostałe przychody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4 743,07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4 231,76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 Zysk ze zbycia niefinansowych aktywów trwałych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Dotacje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center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 przychody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4 743,07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 xml:space="preserve"> 4 231,76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E.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Pozostałe koszty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Strata ze zbycia niefinansowych aktywów trwałych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Aktualizacja wartości aktywów niefinansowych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 koszty operacyjne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F.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z działalności operacyjnej (C+D-E)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217 386,80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G.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 xml:space="preserve"> Przychody finansowe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 Dywidendy i udziały w zyskach, w tym: 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od jednostek powiązanych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Odsetki, w tym: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od jednostek powiązanych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Zysk ze zbycia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Aktualizacja wartości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H.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Koszty finansowe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Odsetki, w tym: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 xml:space="preserve"> - od jednostek powiązanych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Strata ze zbycia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III.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Aktualizacja wartości inwestycji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20"/>
              </w:rPr>
              <w:t> IV.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 Inne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I.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z działalności gospodarczej (F+G-H)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217 386,80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J.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brutto (I+/- J)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217 386,80 </w:t>
            </w: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Podatek dochodowy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447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K.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Pozostałe obowiązkowe zmniejszenia zysku (zwiększenia straty)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</w:p>
        </w:tc>
      </w:tr>
      <w:tr>
        <w:tblPrEx>
          <w:tblW w:w="5000" w:type="pct"/>
          <w:tblLayout w:type="fixed"/>
        </w:tblPrEx>
        <w:trPr>
          <w:trHeight w:val="255"/>
        </w:trPr>
        <w:tc>
          <w:tcPr>
            <w:tcW w:w="67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lef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> L. </w:t>
            </w:r>
          </w:p>
        </w:tc>
        <w:tc>
          <w:tcPr>
            <w:tcW w:w="6912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18"/>
              </w:rPr>
              <w:t> Zysk (strata) netto (K-L-M) </w:t>
            </w:r>
          </w:p>
        </w:tc>
        <w:tc>
          <w:tcPr>
            <w:tcW w:w="1450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24 837,02 </w:t>
            </w:r>
          </w:p>
        </w:tc>
        <w:tc>
          <w:tcPr>
            <w:tcW w:w="1476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center"/>
            <w:hideMark/>
          </w:tcPr>
          <w:p w:rsidR="00A77B3E">
            <w:pPr>
              <w:spacing w:before="0" w:after="0"/>
              <w:jc w:val="right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b/>
                <w:sz w:val="20"/>
              </w:rPr>
              <w:t xml:space="preserve"> 217 386,80 </w:t>
            </w:r>
          </w:p>
        </w:tc>
      </w:tr>
      <w:tr>
        <w:tblPrEx>
          <w:tblW w:w="5000" w:type="pct"/>
          <w:tblLayout w:type="fixed"/>
        </w:tblPrEx>
        <w:trPr>
          <w:trHeight w:val="510"/>
        </w:trPr>
        <w:tc>
          <w:tcPr>
            <w:tcW w:w="10513" w:type="dxa"/>
            <w:gridSpan w:val="6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noWrap w:val="0"/>
            <w:tcMar>
              <w:top w:w="0" w:type="dxa"/>
              <w:left w:w="108" w:type="dxa"/>
              <w:bottom w:w="0" w:type="dxa"/>
              <w:right w:w="108" w:type="dxa"/>
            </w:tcMar>
            <w:textDirection w:val="lrTb"/>
            <w:vAlign w:val="bottom"/>
            <w:hideMark/>
          </w:tcPr>
          <w:p w:rsidR="00A77B3E">
            <w:pPr>
              <w:spacing w:before="0" w:after="0"/>
              <w:jc w:val="both"/>
              <w:rPr>
                <w:rFonts w:ascii="Times New Roman" w:eastAsia="Times New Roman" w:hAnsi="Times New Roman" w:cs="Times New Roman"/>
                <w:b w:val="0"/>
                <w:i w:val="0"/>
                <w:caps w:val="0"/>
                <w:strike w:val="0"/>
                <w:color w:val="auto"/>
                <w:sz w:val="22"/>
                <w:u w:val="none"/>
                <w:vertAlign w:val="baseline"/>
              </w:rPr>
            </w:pPr>
            <w:r>
              <w:rPr>
                <w:sz w:val="18"/>
              </w:rPr>
              <w:t>Sporządzono dnia 28.03.2026 r</w:t>
            </w:r>
          </w:p>
        </w:tc>
      </w:tr>
    </w:tbl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auto"/>
          <w:sz w:val="22"/>
          <w:u w:val="none"/>
          <w:vertAlign w:val="baseline"/>
        </w:rPr>
        <w:t xml:space="preserve">GMINNY ZAKŁAD OPIEKI 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ZDROWOTNEJ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33-260 Gręboszów 142</w:t>
      </w:r>
    </w:p>
    <w:p w:rsidR="00A77B3E">
      <w:pPr>
        <w:keepNext w:val="0"/>
        <w:keepLines w:val="0"/>
        <w:spacing w:before="120" w:after="120" w:line="240" w:lineRule="auto"/>
        <w:ind w:left="0" w:right="0" w:firstLine="0"/>
        <w:jc w:val="center"/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INFORMACJA DODATKOWA DO SPRAWOZDANIA FINANSOWEGO ZA 2025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Nazwa jednostki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siedziba.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Gminny Zakład Opieki Zdrowotnej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33-260 Gręboszów 142.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Forma prawna.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Samodzielny Publiczny Gminny Zakład Opieki Zdrowotnej.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Sąd Rejonowy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NR Rejestru.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/>
          <w:caps w:val="0"/>
          <w:strike w:val="0"/>
          <w:color w:val="000000"/>
          <w:sz w:val="22"/>
          <w:u w:val="none" w:color="000000"/>
          <w:vertAlign w:val="baseline"/>
        </w:rPr>
        <w:t>Wpis do rejestru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: Sąd Rejonowy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Krakowie XII Wydział Gospodarczy Rejestru Sądowego.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 dniu 29.05.2001 dokonano wpisu: Gminnego Zakładu Opieki Zdrowotnej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do Rejestru Stowarzyszeń, Innych Organizacji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Zawodowych, Fundacji, Publicznych Zakładów Opieki Zdrowotnej Numer pozycji rejestru 0000014169.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Podstawowy przedmiot działalności.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Celem GZOZ jest udzielanie świadczeń zdrowotnych służących zachowaniu, ratowaniu, przywracaniu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poprawie zdrowia, sprawowanie profilaktycznej opieki zdrowotnej oraz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podejmowaniu innych działań medycznych wynikających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procesu leczenia lub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przepisów odrębnych regulujących zasady ich wykonania oraz realizowania zadań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zakresu promocji zdrowia dla ludności zamieszkałej stale lub czasowo na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obszarze działania GZOZ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warunkach ambulatoryjnych lub domowych.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5. 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Czas działania jednostki.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Nieograniczony.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 sprawozdawczy.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01.01.2025 r. do 31.12.2025 r.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7. 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Kontynuacja działania.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Sprawozdanie finansowe zostało sporządzone przy założeniu kontynuacji działania jednostki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okresie dłuższym niż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8. 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Omówienie stosowanych metod wyceny aktywów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pasywów oraz przychodów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kosztów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zakresie,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jakim ustawa pozostawia jednostce prawo wyboru.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Wycena majątku trwałego nabytego przez GZOZ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Gręboszowie oparta jest o obowiązujące przepisy podatkowe, dotyczące amortyzacji środka trwałego.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9. 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Wykaz czynnych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biernych rozliczeń międzyokresowych oraz przychodów przyszłych okresów.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międzyokresowe krótkoterminowe 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zł,</w:t>
      </w:r>
    </w:p>
    <w:p w:rsidR="00A77B3E">
      <w:pPr>
        <w:keepNext w:val="0"/>
        <w:keepLines/>
        <w:spacing w:before="120" w:after="120" w:line="240" w:lineRule="auto"/>
        <w:ind w:left="227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rozliczenia długoterminowe 0,00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10. 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Dane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rezerw według celu ich utworzenia na początek roku obrotowego, zwiększeniach, wykorzystaniu, rozwiązaniu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stanie na koniec roku obrotowego, ze wskazaniem tych , które korygują stan należności.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Na koniec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utworzono żadnych rezerw.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11. 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Informacje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przychodach, kosztach i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wynikach działalności zaniechanej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obrotowym lub przewidzianej do zaprzestania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następnym.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Jednostka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zaniechała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obrotowym działalności, jak również nie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przewiduje zaprzestania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następnym.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12. 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Podział zobowiązań według pozycji bilansu o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pozostałym na dzień bilansowy, przewidywanym umową, okresie spłaty: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– wszystkie zobowiązania;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od 1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do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lat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- brak;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ponad 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–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brak.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Struktura rzeczowa (rodzaje działalności)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terytorialną (kraj, eksport) przychodów ze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sprzedaży towarów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produktów: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Struktura rzeczowa: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usługi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ochrony zdrowia 100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%.</w:t>
      </w:r>
    </w:p>
    <w:p w:rsidR="00A77B3E">
      <w:pPr>
        <w:keepNext w:val="0"/>
        <w:keepLines w:val="0"/>
        <w:spacing w:before="120" w:after="120" w:line="240" w:lineRule="auto"/>
        <w:ind w:left="737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Finansowanie usług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zakresie ochrony zdrowia: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Narodowy Fundusz Zdrowia 93,10%,</w:t>
      </w:r>
    </w:p>
    <w:p w:rsidR="00A77B3E">
      <w:pPr>
        <w:keepNext w:val="0"/>
        <w:keepLines/>
        <w:spacing w:before="120" w:after="120" w:line="240" w:lineRule="auto"/>
        <w:ind w:left="454" w:right="0" w:hanging="113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t>-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przez inne podmioty oraz osoby fizyczne 6,9%.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13. 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Przeciętne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 obrotowym zatrudnienie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grupach zawodowych wyniosło 8,57 etatów.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14. 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Rozliczenie głównych pozycji różniących podstawę opodatkowania podatkiem dochodowym od osób prawnych lub fizycznych od wyniku finansowego (zysku, straty) brutto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Koszty podatkowe nie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stanowiące kosztów uzyskania przychodów ale nie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powodujące obowiązku zapłaty podatku /związane z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działalnością statutową/ lub nie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stanowiące jeszcze wydatku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.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a)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amortyzacja od środków trwałych otrzymanych nieodpłatnie lub sfinansowanych innymi środkami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b)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świadczeń na rzecz pracowników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tyt. Ubezpieczeń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Pracy finansowanych przez pracodawcę za miesiąc listopad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grudzień 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wpłaconych do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ZUS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roku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zł;</w:t>
      </w:r>
    </w:p>
    <w:p w:rsidR="00A77B3E">
      <w:pPr>
        <w:keepNext w:val="0"/>
        <w:keepLines/>
        <w:spacing w:before="120" w:after="120" w:line="240" w:lineRule="auto"/>
        <w:ind w:left="227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c)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niewypłacone umowy zlecenia obciążające koszty danego okresu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2.391,00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Przychody nie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stanowiące podstawy opodatkowania.</w:t>
      </w:r>
    </w:p>
    <w:p w:rsidR="00A77B3E">
      <w:pPr>
        <w:keepNext w:val="0"/>
        <w:keepLines w:val="0"/>
        <w:spacing w:before="120" w:after="120" w:line="240" w:lineRule="auto"/>
        <w:ind w:left="510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Wartość przychodów przyszłych okresów 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340" w:right="0" w:hanging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2)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Koszty bilansowe i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podatkowe powodujące obowiązek zapłaty podatku.Brak.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3. 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Koszty podatkowe stanowiące koszty uzyskania przychodów a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nie ujęte w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/>
          <w:caps w:val="0"/>
          <w:strike w:val="0"/>
          <w:color w:val="000000"/>
          <w:sz w:val="22"/>
          <w:u w:val="none" w:color="000000"/>
          <w:vertAlign w:val="baseline"/>
        </w:rPr>
        <w:t>wyniku finansowym.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 świadczeń na rzecz pracowników z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tyt. Ubezpieczeń Społecznych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Funduszu Pracy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finansowanych przez pracodawcę za mc listopad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grudzień 2024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wpłaconych do ZUS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2025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roku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 xml:space="preserve"> 6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529,08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 w:val="0"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Wypłacona umowa zlecenie zaliczona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koszty ubiegłego okresu 0,00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15. 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Rachunek zysków i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strat został sporządzony w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wersji porównawczej.</w:t>
      </w:r>
    </w:p>
    <w:p w:rsidR="00A77B3E">
      <w:pPr>
        <w:keepNext w:val="0"/>
        <w:keepLines/>
        <w:spacing w:before="120" w:after="120" w:line="240" w:lineRule="auto"/>
        <w:ind w:left="0" w:right="0" w:firstLine="340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sz w:val="22"/>
        </w:rPr>
        <w:t>16. 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Zysk w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wysokości 204.742,78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zł zostanie przeznaczony na pokrycie strat z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 </w:t>
      </w:r>
      <w:r>
        <w:rPr>
          <w:rFonts w:ascii="Times New Roman" w:eastAsia="Times New Roman" w:hAnsi="Times New Roman" w:cs="Times New Roman"/>
          <w:b/>
          <w:i w:val="0"/>
          <w:caps w:val="0"/>
          <w:strike w:val="0"/>
          <w:color w:val="000000"/>
          <w:sz w:val="22"/>
          <w:u w:val="none" w:color="000000"/>
          <w:vertAlign w:val="baseline"/>
        </w:rPr>
        <w:t>lat ubiegłych.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  <w:t>Gręboszów dnia 11-03-2026</w:t>
      </w:r>
    </w:p>
    <w:p w:rsidR="00A77B3E">
      <w:pPr>
        <w:keepNext/>
        <w:keepLines/>
        <w:spacing w:before="120" w:after="120" w:line="240" w:lineRule="auto"/>
        <w:ind w:left="283" w:right="0" w:firstLine="227"/>
        <w:jc w:val="both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  <w:r>
        <w:rPr>
          <w:b w:val="0"/>
          <w:i w:val="0"/>
          <w:color w:val="000000"/>
          <w:u w:val="none"/>
          <w:vertAlign w:val="baseline"/>
        </w:rPr>
        <w:t> </w:t>
      </w:r>
    </w:p>
    <w:tbl>
      <w:tblPr>
        <w:tblW w:w="5000" w:type="pct"/>
        <w:tblCellMar>
          <w:top w:w="0" w:type="dxa"/>
          <w:left w:w="0" w:type="dxa"/>
          <w:bottom w:w="0" w:type="dxa"/>
          <w:right w:w="0" w:type="dxa"/>
        </w:tblCellMar>
      </w:tblPr>
      <w:tblGrid>
        <w:gridCol w:w="4933"/>
        <w:gridCol w:w="4933"/>
      </w:tblGrid>
      <w:tr>
        <w:tblPrEx>
          <w:tblW w:w="5000" w:type="pct"/>
        </w:tblPrEx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jc w:val="left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</w:p>
        </w:tc>
        <w:tc>
          <w:tcPr>
            <w:tcW w:w="2500" w:type="pct"/>
            <w:noWrap w:val="0"/>
            <w:tcMar>
              <w:top w:w="0" w:type="dxa"/>
              <w:left w:w="0" w:type="dxa"/>
              <w:bottom w:w="0" w:type="dxa"/>
              <w:right w:w="0" w:type="dxa"/>
            </w:tcMar>
            <w:vAlign w:val="top"/>
            <w:hideMark/>
          </w:tcPr>
          <w:p>
            <w:pPr>
              <w:keepNext/>
              <w:keepLines/>
              <w:spacing w:before="560" w:after="560"/>
              <w:ind w:left="1134" w:right="1134" w:firstLine="0"/>
              <w:jc w:val="center"/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t>Przewodniczący Rady Gminy Gręboszów</w:t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rFonts w:ascii="Times New Roman" w:eastAsia="Times New Roman" w:hAnsi="Times New Roman" w:cs="Times New Roman"/>
                <w:b w:val="0"/>
                <w:bCs w:val="0"/>
                <w:i w:val="0"/>
                <w:iCs w:val="0"/>
                <w:smallCaps w:val="0"/>
                <w:color w:val="000000"/>
                <w:sz w:val="22"/>
                <w:szCs w:val="22"/>
              </w:rPr>
              <w:br/>
            </w:r>
            <w:r>
              <w:rPr>
                <w:b/>
                <w:i w:val="0"/>
              </w:rPr>
              <w:t>Wiesław Wytrwał</w:t>
            </w:r>
          </w:p>
        </w:tc>
      </w:tr>
    </w:tbl>
    <w:p w:rsidR="00A77B3E">
      <w:pPr>
        <w:keepNext/>
        <w:spacing w:before="0" w:after="0"/>
        <w:rPr>
          <w:rFonts w:ascii="Times New Roman" w:eastAsia="Times New Roman" w:hAnsi="Times New Roman" w:cs="Times New Roman"/>
          <w:b w:val="0"/>
          <w:i w:val="0"/>
          <w:caps w:val="0"/>
          <w:strike w:val="0"/>
          <w:color w:val="000000"/>
          <w:sz w:val="22"/>
          <w:u w:val="none" w:color="000000"/>
          <w:vertAlign w:val="baseline"/>
        </w:rPr>
      </w:pPr>
    </w:p>
    <w:sectPr>
      <w:footerReference w:type="default" r:id="rId5"/>
      <w:endnotePr>
        <w:numFmt w:val="decimal"/>
      </w:endnotePr>
      <w:type w:val="nextPage"/>
      <w:pgSz w:w="11906" w:h="16838"/>
      <w:pgMar w:top="992" w:right="1020" w:bottom="992" w:left="102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EB8A42B8-9893-4F92-B65F-8EB69BE12FF1.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108" w:type="dxa"/>
        <w:right w:w="108" w:type="dxa"/>
      </w:tblCellMar>
    </w:tblPr>
    <w:tblGrid>
      <w:gridCol w:w="6577"/>
      <w:gridCol w:w="3289"/>
    </w:tblGrid>
    <w:tr>
      <w:tblPrEx>
        <w:tblW w:w="5000" w:type="pct"/>
      </w:tblPrEx>
      <w:tc>
        <w:tcPr>
          <w:tcW w:w="6577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lef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>Id: EB8A42B8-9893-4F92-B65F-8EB69BE12FF1. Projekt</w:t>
          </w:r>
        </w:p>
      </w:tc>
      <w:tc>
        <w:tcPr>
          <w:tcW w:w="3289" w:type="dxa"/>
          <w:tcBorders>
            <w:top w:val="single" w:sz="4" w:space="0" w:color="auto"/>
            <w:left w:val="nil"/>
            <w:bottom w:val="nil"/>
            <w:right w:val="nil"/>
          </w:tcBorders>
          <w:noWrap w:val="0"/>
          <w:tcMar>
            <w:top w:w="100" w:type="dxa"/>
            <w:left w:w="0" w:type="dxa"/>
            <w:bottom w:w="0" w:type="dxa"/>
            <w:right w:w="0" w:type="dxa"/>
          </w:tcMar>
          <w:vAlign w:val="top"/>
          <w:hideMark/>
        </w:tcPr>
        <w:p>
          <w:pPr>
            <w:jc w:val="right"/>
            <w:rPr>
              <w:rFonts w:ascii="Times New Roman" w:eastAsia="Times New Roman" w:hAnsi="Times New Roman" w:cs="Times New Roman"/>
              <w:b w:val="0"/>
              <w:sz w:val="18"/>
            </w:rPr>
          </w:pPr>
          <w:r>
            <w:rPr>
              <w:rFonts w:ascii="Times New Roman" w:eastAsia="Times New Roman" w:hAnsi="Times New Roman" w:cs="Times New Roman"/>
              <w:b w:val="0"/>
              <w:sz w:val="18"/>
            </w:rPr>
            <w:t xml:space="preserve">Strona </w: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begin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instrText>PAGE</w:instrText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separate"/>
          </w:r>
          <w:r>
            <w:rPr>
              <w:rFonts w:ascii="Times New Roman" w:eastAsia="Times New Roman" w:hAnsi="Times New Roman" w:cs="Times New Roman"/>
              <w:b w:val="0"/>
              <w:sz w:val="18"/>
            </w:rPr>
            <w:fldChar w:fldCharType="end"/>
          </w:r>
        </w:p>
      </w:tc>
    </w:tr>
  </w:tbl>
  <w:p>
    <w:pPr>
      <w:rPr>
        <w:rFonts w:ascii="Times New Roman" w:eastAsia="Times New Roman" w:hAnsi="Times New Roman" w:cs="Times New Roman"/>
        <w:b w:val="0"/>
        <w:sz w:val="18"/>
      </w:rPr>
    </w:pPr>
  </w:p>
</w:ft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20"/>
  <w:noPunctuationKerning/>
  <w:characterSpacingControl w:val="doNotCompress"/>
  <w:endnotePr>
    <w:numFmt w:val="decimal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77B3E"/>
    <w:rsid w:val="00A77B3E"/>
    <w:rsid w:val="00CA2A55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pl-PL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jc w:val="both"/>
    </w:pPr>
    <w:rPr>
      <w:rFonts w:ascii="Times New Roman" w:eastAsia="Times New Roman" w:hAnsi="Times New Roman" w:cs="Times New Roman"/>
      <w:sz w:val="22"/>
      <w:szCs w:val="24"/>
      <w:lang w:val="pl-PL" w:eastAsia="pl-PL" w:bidi="pl-PL"/>
    </w:rPr>
  </w:style>
  <w:style w:type="character" w:default="1" w:styleId="DefaultParagraphFont">
    <w:name w:val="Default Paragraph Font"/>
    <w:semiHidden/>
    <w:rPr>
      <w:lang w:val="pl-PL" w:eastAsia="pl-PL" w:bidi="pl-PL"/>
    </w:rPr>
  </w:style>
  <w:style w:type="table" w:default="1" w:styleId="TableNormal">
    <w:name w:val="Normal Table"/>
    <w:semiHidden/>
    <w:rPr>
      <w:lang w:val="pl-PL" w:eastAsia="pl-PL" w:bidi="pl-PL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footer" Target="footer1.xml" /><Relationship Id="rId5" Type="http://schemas.openxmlformats.org/officeDocument/2006/relationships/footer" Target="footer2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</Template>
  <TotalTime>0</TotalTime>
  <Pages>1</Pages>
  <Words>0</Words>
  <Characters>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Rada Gminy Gręboszów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 XXVIII/177/2026 z dnia 26 czerwca 2026 r.</dc:title>
  <dc:subject>w sprawie zatwierdzenia rocznego sprawozdania finansowego Gminnego Zakładu Opieki Zdrowotnej w^Gręboszowie za rok 2025</dc:subject>
  <dc:creator>marcin.janowiec</dc:creator>
  <cp:lastModifiedBy>marcin.janowiec</cp:lastModifiedBy>
  <cp:revision>1</cp:revision>
  <dcterms:created xsi:type="dcterms:W3CDTF">2026-06-16T09:40:28Z</dcterms:created>
  <dcterms:modified xsi:type="dcterms:W3CDTF">2026-06-16T09:40:28Z</dcterms:modified>
  <cp:category>Akt prawny</cp:category>
</cp:coreProperties>
</file>