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XXVIII/186/2026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rozpatrzenia skarg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 18 ust. 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zw.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 18b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oraz art. 229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Kodeks postępowania administracyjnego (Dz.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 1691)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 rozpatrzeniu skarg wniesionych przez Szulc-Euphenics.com p. Spółka Akcyjna, na Wójta Gminy Gręboszów dotyczących braku należytej kontroli nad wydatkowaniem środków publicznych przez kierowników jednostek organizacyjnych oraz nad przestrzeganiem zasad związanych z ceberbezpieczeństwem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przepisów prawa dotyczących formy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utrzymania stron Biuletynu Informacji Publicznej (BIP) oraz oficjalnych serwisów internetowych jednostek organizacyjnych,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także po zapoznaniu się ze stanowiskiem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Petycji, Rada Gminy Gręboszów uznaje skargę za bezzasadną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przyczyn wskazanych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uzasadnieniu stanowiącym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Przewodniczącemu Rady Gminy Gręboszów, którego zobowiązuje się do zawiadomienia Skarżącego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sposobie załatwienia skarg.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24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do uchwały nr XXVIII/186/2026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p w:rsidR="00A77B3E">
      <w:pPr>
        <w:keepNext w:val="0"/>
        <w:keepLines w:val="0"/>
        <w:spacing w:before="120" w:after="120" w:line="36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2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pacing w:val="20"/>
          <w:w w:val="100"/>
          <w:sz w:val="22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W dniu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maja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8 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r. do Rady Gminy Gręboszów wpłynęły skargi złożone przez osobę prawną – Spółkę Szulc-Euphenics.com p. Spółka Akcyjna. Skargi zostały skierowane przeciwko Wójtowi Gminy Gręboszów działającemu jako kierownik jednostki samorządu terytorialnego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dotyczyły zarzutu braku należytego nadzoru nad obszarem cyberbezpieczeństwa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zakresie bezpieczeństwa Biuletynów Informacji Publicznych oraz stron internetowych jednostek podległych.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Skarżący wskazywał, iż organ, którego dotyczą skargi, miał naruszyć obowiązek wynikający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maja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sprawie Krajowych Ram Interoperacyjności, minimalnych wymagań dla rejestrów publicznych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wymiany informacji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postaci elektronicznej oraz minimalnych wymagań dla systemów teleinformatycznych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773),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także pogwałcać dyspozycję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2025.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późn. zm.).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Komisja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Petycji, rozpatrując skargi na posiedzeniu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dniu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r. dokonała szczegółowej analizy ich treści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załączonymi materiałami,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także zapoznała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wyjaśnieniami przedstawionymi przez Wójta Gminy Gręboszów.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Po analizie treści skarg, obowiązujących przepisów prawa oraz stanu faktycznego należy stwierdzić, że zarzuty podniesione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pismach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znajdują potwierdzenia ani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obowiązujących regulacjach, ani w realiach technicznych funkcjonowania systemów teleinformatycznych jednostki.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W związku z powyzszym Rada Gminy Gręboszów po zapoznaniu się ze stanowiskiem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pacing w:val="0"/>
          <w:sz w:val="22"/>
          <w:u w:val="none"/>
          <w:vertAlign w:val="baseline"/>
        </w:rPr>
        <w:t>Petycji, uznaje przedmiotowe skargi za bezzasadne.</w:t>
      </w:r>
    </w:p>
    <w:sectPr>
      <w:footerReference w:type="default" r:id="rId5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18A3A3DE-8697-464E-BDDD-E783300A756D.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18A3A3DE-8697-464E-BDDD-E783300A756D.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XXVIII/186/2026 z dnia 26 czerwca 2026 r.</dc:title>
  <dc:subject>w sprawie rozpatrzenia skarg</dc:subject>
  <dc:creator>marcin.janowiec</dc:creator>
  <cp:lastModifiedBy>marcin.janowiec</cp:lastModifiedBy>
  <cp:revision>1</cp:revision>
  <dcterms:created xsi:type="dcterms:W3CDTF">2026-06-22T12:25:20Z</dcterms:created>
  <dcterms:modified xsi:type="dcterms:W3CDTF">2026-06-22T12:25:20Z</dcterms:modified>
  <cp:category>Akt prawny</cp:category>
</cp:coreProperties>
</file>